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de-DE"/>
        </w:rPr>
        <w:id w:val="769975668"/>
        <w:docPartObj>
          <w:docPartGallery w:val="Table of Contents"/>
          <w:docPartUnique/>
        </w:docPartObj>
      </w:sdtPr>
      <w:sdtEndPr>
        <w:rPr>
          <w:rFonts w:asciiTheme="minorHAnsi" w:eastAsiaTheme="minorHAnsi" w:hAnsiTheme="minorHAnsi" w:cstheme="minorBidi"/>
          <w:b/>
          <w:bCs/>
          <w:color w:val="auto"/>
          <w:kern w:val="2"/>
          <w:sz w:val="22"/>
          <w:szCs w:val="22"/>
          <w:lang w:eastAsia="en-US"/>
          <w14:ligatures w14:val="standardContextual"/>
        </w:rPr>
      </w:sdtEndPr>
      <w:sdtContent>
        <w:p w14:paraId="553D92B4" w14:textId="1EB04CA7" w:rsidR="00BB2823" w:rsidRDefault="00D23B7F">
          <w:pPr>
            <w:pStyle w:val="Inhaltsverzeichnisberschrift"/>
            <w:rPr>
              <w:b/>
              <w:bCs/>
              <w:lang w:val="de-DE"/>
            </w:rPr>
          </w:pPr>
          <w:r w:rsidRPr="00D23B7F">
            <w:rPr>
              <w:b/>
              <w:bCs/>
              <w:lang w:val="de-DE"/>
            </w:rPr>
            <w:t>Übersicht zum Thema Wohnen in NÖ</w:t>
          </w:r>
        </w:p>
        <w:p w14:paraId="4B8A1613" w14:textId="77777777" w:rsidR="00D23B7F" w:rsidRPr="00D23B7F" w:rsidRDefault="00D23B7F" w:rsidP="00D23B7F">
          <w:pPr>
            <w:rPr>
              <w:lang w:val="de-DE" w:eastAsia="de-AT"/>
            </w:rPr>
          </w:pPr>
        </w:p>
        <w:p w14:paraId="01B0782B" w14:textId="436832EC" w:rsidR="00BB2823" w:rsidRDefault="00BB2823">
          <w:pPr>
            <w:pStyle w:val="Inhaltsverzeichnisberschrift"/>
            <w:rPr>
              <w:lang w:val="de-DE"/>
            </w:rPr>
          </w:pPr>
          <w:r>
            <w:rPr>
              <w:lang w:val="de-DE"/>
            </w:rPr>
            <w:t>Inhalt</w:t>
          </w:r>
          <w:r w:rsidR="00D23B7F">
            <w:rPr>
              <w:lang w:val="de-DE"/>
            </w:rPr>
            <w:t>sverzeichnis</w:t>
          </w:r>
        </w:p>
        <w:p w14:paraId="6FE0FB78" w14:textId="77777777" w:rsidR="00D23B7F" w:rsidRPr="00D23B7F" w:rsidRDefault="00D23B7F" w:rsidP="00D23B7F">
          <w:pPr>
            <w:rPr>
              <w:lang w:val="de-DE" w:eastAsia="de-AT"/>
            </w:rPr>
          </w:pPr>
        </w:p>
        <w:p w14:paraId="4F5344EE" w14:textId="4A2B81B7" w:rsidR="00FE6916" w:rsidRDefault="00BB2823">
          <w:pPr>
            <w:pStyle w:val="Verzeichnis1"/>
            <w:tabs>
              <w:tab w:val="right" w:leader="dot" w:pos="9062"/>
            </w:tabs>
            <w:rPr>
              <w:rFonts w:eastAsiaTheme="minorEastAsia"/>
              <w:noProof/>
              <w:lang w:eastAsia="de-AT"/>
            </w:rPr>
          </w:pPr>
          <w:r>
            <w:fldChar w:fldCharType="begin"/>
          </w:r>
          <w:r>
            <w:instrText xml:space="preserve"> TOC \o "1-3" \h \z \u </w:instrText>
          </w:r>
          <w:r>
            <w:fldChar w:fldCharType="separate"/>
          </w:r>
          <w:hyperlink w:anchor="_Toc153363576" w:history="1">
            <w:r w:rsidR="00FE6916" w:rsidRPr="000E000B">
              <w:rPr>
                <w:rStyle w:val="Hyperlink"/>
                <w:rFonts w:ascii="Arial" w:hAnsi="Arial" w:cs="Arial"/>
                <w:noProof/>
                <w:lang w:val="de-DE"/>
              </w:rPr>
              <w:t>SPÖ-Wohnpaket in Niederösterreich</w:t>
            </w:r>
            <w:r w:rsidR="00FE6916">
              <w:rPr>
                <w:noProof/>
                <w:webHidden/>
              </w:rPr>
              <w:tab/>
            </w:r>
            <w:r w:rsidR="00FE6916">
              <w:rPr>
                <w:noProof/>
                <w:webHidden/>
              </w:rPr>
              <w:fldChar w:fldCharType="begin"/>
            </w:r>
            <w:r w:rsidR="00FE6916">
              <w:rPr>
                <w:noProof/>
                <w:webHidden/>
              </w:rPr>
              <w:instrText xml:space="preserve"> PAGEREF _Toc153363576 \h </w:instrText>
            </w:r>
            <w:r w:rsidR="00FE6916">
              <w:rPr>
                <w:noProof/>
                <w:webHidden/>
              </w:rPr>
            </w:r>
            <w:r w:rsidR="00FE6916">
              <w:rPr>
                <w:noProof/>
                <w:webHidden/>
              </w:rPr>
              <w:fldChar w:fldCharType="separate"/>
            </w:r>
            <w:r w:rsidR="00FE6916">
              <w:rPr>
                <w:noProof/>
                <w:webHidden/>
              </w:rPr>
              <w:t>1</w:t>
            </w:r>
            <w:r w:rsidR="00FE6916">
              <w:rPr>
                <w:noProof/>
                <w:webHidden/>
              </w:rPr>
              <w:fldChar w:fldCharType="end"/>
            </w:r>
          </w:hyperlink>
        </w:p>
        <w:p w14:paraId="48882E69" w14:textId="01586616" w:rsidR="00FE6916" w:rsidRDefault="00FE6916">
          <w:pPr>
            <w:pStyle w:val="Verzeichnis1"/>
            <w:tabs>
              <w:tab w:val="right" w:leader="dot" w:pos="9062"/>
            </w:tabs>
            <w:rPr>
              <w:rFonts w:eastAsiaTheme="minorEastAsia"/>
              <w:noProof/>
              <w:lang w:eastAsia="de-AT"/>
            </w:rPr>
          </w:pPr>
          <w:hyperlink w:anchor="_Toc153363577" w:history="1">
            <w:r w:rsidRPr="000E000B">
              <w:rPr>
                <w:rStyle w:val="Hyperlink"/>
                <w:rFonts w:ascii="Arial" w:hAnsi="Arial" w:cs="Arial"/>
                <w:noProof/>
                <w:lang w:val="de-DE"/>
              </w:rPr>
              <w:t>Wohnbaubudget in NÖ für 2024</w:t>
            </w:r>
            <w:r>
              <w:rPr>
                <w:noProof/>
                <w:webHidden/>
              </w:rPr>
              <w:tab/>
            </w:r>
            <w:r>
              <w:rPr>
                <w:noProof/>
                <w:webHidden/>
              </w:rPr>
              <w:fldChar w:fldCharType="begin"/>
            </w:r>
            <w:r>
              <w:rPr>
                <w:noProof/>
                <w:webHidden/>
              </w:rPr>
              <w:instrText xml:space="preserve"> PAGEREF _Toc153363577 \h </w:instrText>
            </w:r>
            <w:r>
              <w:rPr>
                <w:noProof/>
                <w:webHidden/>
              </w:rPr>
            </w:r>
            <w:r>
              <w:rPr>
                <w:noProof/>
                <w:webHidden/>
              </w:rPr>
              <w:fldChar w:fldCharType="separate"/>
            </w:r>
            <w:r>
              <w:rPr>
                <w:noProof/>
                <w:webHidden/>
              </w:rPr>
              <w:t>5</w:t>
            </w:r>
            <w:r>
              <w:rPr>
                <w:noProof/>
                <w:webHidden/>
              </w:rPr>
              <w:fldChar w:fldCharType="end"/>
            </w:r>
          </w:hyperlink>
        </w:p>
        <w:p w14:paraId="2B6944B8" w14:textId="66A080D6" w:rsidR="00FE6916" w:rsidRDefault="00FE6916">
          <w:pPr>
            <w:pStyle w:val="Verzeichnis1"/>
            <w:tabs>
              <w:tab w:val="right" w:leader="dot" w:pos="9062"/>
            </w:tabs>
            <w:rPr>
              <w:rFonts w:eastAsiaTheme="minorEastAsia"/>
              <w:noProof/>
              <w:lang w:eastAsia="de-AT"/>
            </w:rPr>
          </w:pPr>
          <w:hyperlink w:anchor="_Toc153363578" w:history="1">
            <w:r w:rsidRPr="000E000B">
              <w:rPr>
                <w:rStyle w:val="Hyperlink"/>
                <w:rFonts w:ascii="Arial" w:hAnsi="Arial" w:cs="Arial"/>
                <w:noProof/>
                <w:lang w:val="de-DE"/>
              </w:rPr>
              <w:t>Wohnbauförderungsrichtlinie neu</w:t>
            </w:r>
            <w:r>
              <w:rPr>
                <w:noProof/>
                <w:webHidden/>
              </w:rPr>
              <w:tab/>
            </w:r>
            <w:r>
              <w:rPr>
                <w:noProof/>
                <w:webHidden/>
              </w:rPr>
              <w:fldChar w:fldCharType="begin"/>
            </w:r>
            <w:r>
              <w:rPr>
                <w:noProof/>
                <w:webHidden/>
              </w:rPr>
              <w:instrText xml:space="preserve"> PAGEREF _Toc153363578 \h </w:instrText>
            </w:r>
            <w:r>
              <w:rPr>
                <w:noProof/>
                <w:webHidden/>
              </w:rPr>
            </w:r>
            <w:r>
              <w:rPr>
                <w:noProof/>
                <w:webHidden/>
              </w:rPr>
              <w:fldChar w:fldCharType="separate"/>
            </w:r>
            <w:r>
              <w:rPr>
                <w:noProof/>
                <w:webHidden/>
              </w:rPr>
              <w:t>6</w:t>
            </w:r>
            <w:r>
              <w:rPr>
                <w:noProof/>
                <w:webHidden/>
              </w:rPr>
              <w:fldChar w:fldCharType="end"/>
            </w:r>
          </w:hyperlink>
        </w:p>
        <w:p w14:paraId="69FEC57D" w14:textId="007E00C4" w:rsidR="00BB2823" w:rsidRDefault="00BB2823">
          <w:r>
            <w:rPr>
              <w:b/>
              <w:bCs/>
              <w:lang w:val="de-DE"/>
            </w:rPr>
            <w:fldChar w:fldCharType="end"/>
          </w:r>
        </w:p>
      </w:sdtContent>
    </w:sdt>
    <w:p w14:paraId="712AE4B3" w14:textId="77777777" w:rsidR="00BB2823" w:rsidRDefault="00BB2823" w:rsidP="00BB2823">
      <w:pPr>
        <w:rPr>
          <w:rFonts w:ascii="Arial" w:hAnsi="Arial" w:cs="Arial"/>
          <w:sz w:val="28"/>
          <w:szCs w:val="28"/>
          <w:u w:val="single"/>
          <w:lang w:val="de-DE"/>
        </w:rPr>
      </w:pPr>
    </w:p>
    <w:p w14:paraId="00CEBC31" w14:textId="77777777" w:rsidR="00BB2823" w:rsidRDefault="00BB2823" w:rsidP="00BB2823">
      <w:pPr>
        <w:rPr>
          <w:rFonts w:ascii="Arial" w:hAnsi="Arial" w:cs="Arial"/>
          <w:sz w:val="28"/>
          <w:szCs w:val="28"/>
          <w:u w:val="single"/>
          <w:lang w:val="de-DE"/>
        </w:rPr>
      </w:pPr>
    </w:p>
    <w:p w14:paraId="20B9399B" w14:textId="1594A5E2" w:rsidR="005B1C0B" w:rsidRPr="003837CF" w:rsidRDefault="003837CF" w:rsidP="00BB2823">
      <w:pPr>
        <w:pStyle w:val="berschrift1"/>
        <w:rPr>
          <w:rFonts w:ascii="Arial" w:hAnsi="Arial" w:cs="Arial"/>
          <w:sz w:val="28"/>
          <w:szCs w:val="28"/>
          <w:u w:val="single"/>
          <w:lang w:val="de-DE"/>
        </w:rPr>
      </w:pPr>
      <w:bookmarkStart w:id="0" w:name="_Toc153363576"/>
      <w:r w:rsidRPr="003837CF">
        <w:rPr>
          <w:rFonts w:ascii="Arial" w:hAnsi="Arial" w:cs="Arial"/>
          <w:sz w:val="28"/>
          <w:szCs w:val="28"/>
          <w:u w:val="single"/>
          <w:lang w:val="de-DE"/>
        </w:rPr>
        <w:t>SPÖ-Wohnpaket</w:t>
      </w:r>
      <w:r>
        <w:rPr>
          <w:rFonts w:ascii="Arial" w:hAnsi="Arial" w:cs="Arial"/>
          <w:sz w:val="28"/>
          <w:szCs w:val="28"/>
          <w:u w:val="single"/>
          <w:lang w:val="de-DE"/>
        </w:rPr>
        <w:t xml:space="preserve"> in Niederösterreich</w:t>
      </w:r>
      <w:bookmarkEnd w:id="0"/>
    </w:p>
    <w:p w14:paraId="4674FBB3" w14:textId="77777777" w:rsidR="003837CF" w:rsidRDefault="003837CF">
      <w:pPr>
        <w:rPr>
          <w:rFonts w:ascii="Arial" w:hAnsi="Arial" w:cs="Arial"/>
          <w:sz w:val="28"/>
          <w:szCs w:val="28"/>
          <w:lang w:val="de-DE"/>
        </w:rPr>
      </w:pPr>
    </w:p>
    <w:p w14:paraId="4E2E1D81" w14:textId="6BBA8E33" w:rsidR="003837CF" w:rsidRDefault="003837CF">
      <w:pPr>
        <w:rPr>
          <w:rFonts w:ascii="Arial" w:hAnsi="Arial" w:cs="Arial"/>
          <w:sz w:val="28"/>
          <w:szCs w:val="28"/>
          <w:lang w:val="de-DE"/>
        </w:rPr>
      </w:pPr>
      <w:r>
        <w:rPr>
          <w:rFonts w:ascii="Arial" w:hAnsi="Arial" w:cs="Arial"/>
          <w:sz w:val="28"/>
          <w:szCs w:val="28"/>
          <w:lang w:val="de-DE"/>
        </w:rPr>
        <w:t>7 Anträge wurden am 21.09.2023 eingebracht</w:t>
      </w:r>
    </w:p>
    <w:p w14:paraId="418FA971" w14:textId="18ABABB2" w:rsidR="003837CF" w:rsidRDefault="003837CF">
      <w:pPr>
        <w:rPr>
          <w:rFonts w:ascii="Arial" w:hAnsi="Arial" w:cs="Arial"/>
          <w:sz w:val="28"/>
          <w:szCs w:val="28"/>
          <w:lang w:val="de-DE"/>
        </w:rPr>
      </w:pPr>
      <w:r>
        <w:rPr>
          <w:rFonts w:ascii="Arial" w:hAnsi="Arial" w:cs="Arial"/>
          <w:sz w:val="28"/>
          <w:szCs w:val="28"/>
          <w:lang w:val="de-DE"/>
        </w:rPr>
        <w:t>4 Anträge wurden durch ÖVP/FPÖ Koalition abgelehnt</w:t>
      </w:r>
    </w:p>
    <w:p w14:paraId="4FF821C6" w14:textId="5BDF93EB" w:rsidR="003837CF" w:rsidRDefault="003837CF">
      <w:pPr>
        <w:rPr>
          <w:rFonts w:ascii="Arial" w:hAnsi="Arial" w:cs="Arial"/>
          <w:sz w:val="28"/>
          <w:szCs w:val="28"/>
          <w:lang w:val="de-DE"/>
        </w:rPr>
      </w:pPr>
      <w:r>
        <w:rPr>
          <w:rFonts w:ascii="Arial" w:hAnsi="Arial" w:cs="Arial"/>
          <w:sz w:val="28"/>
          <w:szCs w:val="28"/>
          <w:lang w:val="de-DE"/>
        </w:rPr>
        <w:t>2 Anträge wurden vertagt und bis dato nicht behandelt</w:t>
      </w:r>
    </w:p>
    <w:p w14:paraId="7AB779ED" w14:textId="74708228" w:rsidR="003837CF" w:rsidRDefault="003837CF">
      <w:pPr>
        <w:rPr>
          <w:rFonts w:ascii="Arial" w:hAnsi="Arial" w:cs="Arial"/>
          <w:sz w:val="28"/>
          <w:szCs w:val="28"/>
          <w:lang w:val="de-DE"/>
        </w:rPr>
      </w:pPr>
      <w:r>
        <w:rPr>
          <w:rFonts w:ascii="Arial" w:hAnsi="Arial" w:cs="Arial"/>
          <w:sz w:val="28"/>
          <w:szCs w:val="28"/>
          <w:lang w:val="de-DE"/>
        </w:rPr>
        <w:t>1 Antrag wurde einstimmig angenommen</w:t>
      </w:r>
    </w:p>
    <w:p w14:paraId="7F26E88D" w14:textId="77777777" w:rsidR="003837CF" w:rsidRDefault="003837CF">
      <w:pPr>
        <w:rPr>
          <w:rFonts w:ascii="Arial" w:hAnsi="Arial" w:cs="Arial"/>
          <w:sz w:val="28"/>
          <w:szCs w:val="28"/>
          <w:lang w:val="de-DE"/>
        </w:rPr>
      </w:pPr>
    </w:p>
    <w:tbl>
      <w:tblPr>
        <w:tblW w:w="9209" w:type="dxa"/>
        <w:tblCellMar>
          <w:left w:w="70" w:type="dxa"/>
          <w:right w:w="70" w:type="dxa"/>
        </w:tblCellMar>
        <w:tblLook w:val="04A0" w:firstRow="1" w:lastRow="0" w:firstColumn="1" w:lastColumn="0" w:noHBand="0" w:noVBand="1"/>
      </w:tblPr>
      <w:tblGrid>
        <w:gridCol w:w="9209"/>
      </w:tblGrid>
      <w:tr w:rsidR="003837CF" w:rsidRPr="003837CF" w14:paraId="0DBEEFD2" w14:textId="77777777" w:rsidTr="003837CF">
        <w:trPr>
          <w:trHeight w:val="418"/>
        </w:trPr>
        <w:tc>
          <w:tcPr>
            <w:tcW w:w="9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1A51BF" w14:textId="62BF945C" w:rsidR="003837CF" w:rsidRPr="003837CF" w:rsidRDefault="003837CF" w:rsidP="003837CF">
            <w:pPr>
              <w:spacing w:after="0" w:line="240" w:lineRule="auto"/>
              <w:rPr>
                <w:rFonts w:ascii="Arial" w:eastAsia="Times New Roman" w:hAnsi="Arial" w:cs="Arial"/>
                <w:color w:val="000000"/>
                <w:kern w:val="0"/>
                <w:sz w:val="24"/>
                <w:szCs w:val="24"/>
                <w:lang w:eastAsia="de-AT"/>
                <w14:ligatures w14:val="none"/>
              </w:rPr>
            </w:pPr>
            <w:r w:rsidRPr="003837CF">
              <w:rPr>
                <w:rFonts w:ascii="Arial" w:eastAsia="Times New Roman" w:hAnsi="Arial" w:cs="Arial"/>
                <w:color w:val="000000"/>
                <w:kern w:val="0"/>
                <w:sz w:val="24"/>
                <w:szCs w:val="24"/>
                <w:lang w:eastAsia="de-AT"/>
                <w14:ligatures w14:val="none"/>
              </w:rPr>
              <w:t>Mietenstopp jetzt statt Mogelpackung</w:t>
            </w:r>
          </w:p>
        </w:tc>
      </w:tr>
      <w:tr w:rsidR="003837CF" w:rsidRPr="003837CF" w14:paraId="1B2DF44B" w14:textId="77777777" w:rsidTr="003837CF">
        <w:trPr>
          <w:trHeight w:val="46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71030043" w14:textId="37696E77" w:rsidR="003837CF" w:rsidRPr="003837CF" w:rsidRDefault="003837CF" w:rsidP="003837CF">
            <w:pPr>
              <w:spacing w:after="0" w:line="240" w:lineRule="auto"/>
              <w:rPr>
                <w:rFonts w:ascii="Arial" w:eastAsia="Times New Roman" w:hAnsi="Arial" w:cs="Arial"/>
                <w:color w:val="000000"/>
                <w:kern w:val="0"/>
                <w:sz w:val="24"/>
                <w:szCs w:val="24"/>
                <w:lang w:eastAsia="de-AT"/>
                <w14:ligatures w14:val="none"/>
              </w:rPr>
            </w:pPr>
            <w:r w:rsidRPr="003837CF">
              <w:rPr>
                <w:rFonts w:ascii="Arial" w:eastAsia="Times New Roman" w:hAnsi="Arial" w:cs="Arial"/>
                <w:color w:val="000000"/>
                <w:kern w:val="0"/>
                <w:sz w:val="24"/>
                <w:szCs w:val="24"/>
                <w:lang w:eastAsia="de-AT"/>
                <w14:ligatures w14:val="none"/>
              </w:rPr>
              <w:t>Zinsdeckel für Häuslbauer- und Wohnungskredite</w:t>
            </w:r>
          </w:p>
        </w:tc>
      </w:tr>
      <w:tr w:rsidR="003837CF" w:rsidRPr="003837CF" w14:paraId="4FCD5939" w14:textId="77777777" w:rsidTr="003837CF">
        <w:trPr>
          <w:trHeight w:val="424"/>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4D018EBA" w14:textId="68DB12B4" w:rsidR="003837CF" w:rsidRPr="003837CF" w:rsidRDefault="003837CF" w:rsidP="003837CF">
            <w:pPr>
              <w:spacing w:after="0" w:line="240" w:lineRule="auto"/>
              <w:rPr>
                <w:rFonts w:ascii="Arial" w:eastAsia="Times New Roman" w:hAnsi="Arial" w:cs="Arial"/>
                <w:color w:val="000000"/>
                <w:kern w:val="0"/>
                <w:sz w:val="24"/>
                <w:szCs w:val="24"/>
                <w:lang w:eastAsia="de-AT"/>
                <w14:ligatures w14:val="none"/>
              </w:rPr>
            </w:pPr>
            <w:r w:rsidRPr="003837CF">
              <w:rPr>
                <w:rFonts w:ascii="Arial" w:eastAsia="Times New Roman" w:hAnsi="Arial" w:cs="Arial"/>
                <w:color w:val="000000"/>
                <w:kern w:val="0"/>
                <w:sz w:val="24"/>
                <w:szCs w:val="24"/>
                <w:lang w:eastAsia="de-AT"/>
                <w14:ligatures w14:val="none"/>
              </w:rPr>
              <w:t>Kostenübernahme vom Land Niederösterreich für Energieausweise für "Häuslbauer"</w:t>
            </w:r>
          </w:p>
        </w:tc>
      </w:tr>
      <w:tr w:rsidR="003837CF" w:rsidRPr="003837CF" w14:paraId="4C079AFE" w14:textId="77777777" w:rsidTr="003837CF">
        <w:trPr>
          <w:trHeight w:val="686"/>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13E4CFE1" w14:textId="2F3A40F7" w:rsidR="003837CF" w:rsidRPr="003837CF" w:rsidRDefault="003837CF" w:rsidP="003837CF">
            <w:pPr>
              <w:spacing w:after="0" w:line="240" w:lineRule="auto"/>
              <w:rPr>
                <w:rFonts w:ascii="Arial" w:eastAsia="Times New Roman" w:hAnsi="Arial" w:cs="Arial"/>
                <w:color w:val="000000"/>
                <w:kern w:val="0"/>
                <w:sz w:val="24"/>
                <w:szCs w:val="24"/>
                <w:lang w:eastAsia="de-AT"/>
                <w14:ligatures w14:val="none"/>
              </w:rPr>
            </w:pPr>
            <w:r w:rsidRPr="003837CF">
              <w:rPr>
                <w:rFonts w:ascii="Arial" w:eastAsia="Times New Roman" w:hAnsi="Arial" w:cs="Arial"/>
                <w:color w:val="000000"/>
                <w:kern w:val="0"/>
                <w:sz w:val="24"/>
                <w:szCs w:val="24"/>
                <w:lang w:eastAsia="de-AT"/>
                <w14:ligatures w14:val="none"/>
              </w:rPr>
              <w:t>Raus aus dem Öl – (höhere) Förderung für den Umstieg auf klimaschonende Heizsysteme auch für 2024</w:t>
            </w:r>
          </w:p>
        </w:tc>
      </w:tr>
      <w:tr w:rsidR="003837CF" w:rsidRPr="003837CF" w14:paraId="3FD397C2" w14:textId="77777777" w:rsidTr="003837CF">
        <w:trPr>
          <w:trHeight w:val="71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5AD1DB36" w14:textId="77777777" w:rsidR="003837CF" w:rsidRPr="003837CF" w:rsidRDefault="003837CF" w:rsidP="003837CF">
            <w:pPr>
              <w:spacing w:after="0" w:line="240" w:lineRule="auto"/>
              <w:rPr>
                <w:rFonts w:ascii="Arial" w:eastAsia="Times New Roman" w:hAnsi="Arial" w:cs="Arial"/>
                <w:color w:val="000000"/>
                <w:kern w:val="0"/>
                <w:sz w:val="24"/>
                <w:szCs w:val="24"/>
                <w:lang w:eastAsia="de-AT"/>
                <w14:ligatures w14:val="none"/>
              </w:rPr>
            </w:pPr>
            <w:r w:rsidRPr="003837CF">
              <w:rPr>
                <w:rFonts w:ascii="Arial" w:eastAsia="Times New Roman" w:hAnsi="Arial" w:cs="Arial"/>
                <w:color w:val="000000"/>
                <w:kern w:val="0"/>
                <w:sz w:val="24"/>
                <w:szCs w:val="24"/>
                <w:lang w:eastAsia="de-AT"/>
                <w14:ligatures w14:val="none"/>
              </w:rPr>
              <w:t>Möglichkeit der Wohnbauförderung auch für Objekte, welche bereits fertiggestellt wurden</w:t>
            </w:r>
          </w:p>
        </w:tc>
      </w:tr>
      <w:tr w:rsidR="003837CF" w:rsidRPr="003837CF" w14:paraId="30906DBC" w14:textId="77777777" w:rsidTr="003837CF">
        <w:trPr>
          <w:trHeight w:val="682"/>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3371D1F5" w14:textId="77777777" w:rsidR="003837CF" w:rsidRPr="003837CF" w:rsidRDefault="003837CF" w:rsidP="003837CF">
            <w:pPr>
              <w:spacing w:after="0" w:line="240" w:lineRule="auto"/>
              <w:rPr>
                <w:rFonts w:ascii="Arial" w:eastAsia="Times New Roman" w:hAnsi="Arial" w:cs="Arial"/>
                <w:color w:val="000000"/>
                <w:kern w:val="0"/>
                <w:sz w:val="24"/>
                <w:szCs w:val="24"/>
                <w:lang w:eastAsia="de-AT"/>
                <w14:ligatures w14:val="none"/>
              </w:rPr>
            </w:pPr>
            <w:r w:rsidRPr="003837CF">
              <w:rPr>
                <w:rFonts w:ascii="Arial" w:eastAsia="Times New Roman" w:hAnsi="Arial" w:cs="Arial"/>
                <w:color w:val="000000"/>
                <w:kern w:val="0"/>
                <w:sz w:val="24"/>
                <w:szCs w:val="24"/>
                <w:lang w:eastAsia="de-AT"/>
                <w14:ligatures w14:val="none"/>
              </w:rPr>
              <w:lastRenderedPageBreak/>
              <w:t>Wiederaufnahme des geförderten Neubaus bei den gemeinnützigen Bauvereinigungen</w:t>
            </w:r>
          </w:p>
        </w:tc>
      </w:tr>
      <w:tr w:rsidR="003837CF" w:rsidRPr="003837CF" w14:paraId="2334E4FA" w14:textId="77777777" w:rsidTr="003837CF">
        <w:trPr>
          <w:trHeight w:val="422"/>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2FCE94F2" w14:textId="12B47006" w:rsidR="003837CF" w:rsidRPr="003837CF" w:rsidRDefault="003837CF" w:rsidP="003837CF">
            <w:pPr>
              <w:spacing w:after="0" w:line="240" w:lineRule="auto"/>
              <w:rPr>
                <w:rFonts w:ascii="Arial" w:eastAsia="Times New Roman" w:hAnsi="Arial" w:cs="Arial"/>
                <w:color w:val="000000"/>
                <w:kern w:val="0"/>
                <w:sz w:val="24"/>
                <w:szCs w:val="24"/>
                <w:lang w:eastAsia="de-AT"/>
                <w14:ligatures w14:val="none"/>
              </w:rPr>
            </w:pPr>
            <w:r w:rsidRPr="003837CF">
              <w:rPr>
                <w:rFonts w:ascii="Arial" w:eastAsia="Times New Roman" w:hAnsi="Arial" w:cs="Arial"/>
                <w:color w:val="000000"/>
                <w:kern w:val="0"/>
                <w:sz w:val="24"/>
                <w:szCs w:val="24"/>
                <w:lang w:eastAsia="de-AT"/>
                <w14:ligatures w14:val="none"/>
              </w:rPr>
              <w:t>Zweckbindung von Wohnbauförderungsmitteln</w:t>
            </w:r>
          </w:p>
        </w:tc>
      </w:tr>
    </w:tbl>
    <w:p w14:paraId="27CCC7C1" w14:textId="77777777" w:rsidR="003837CF" w:rsidRDefault="003837CF">
      <w:pPr>
        <w:rPr>
          <w:rFonts w:ascii="Arial" w:hAnsi="Arial" w:cs="Arial"/>
          <w:sz w:val="28"/>
          <w:szCs w:val="28"/>
          <w:lang w:val="de-DE"/>
        </w:rPr>
      </w:pPr>
    </w:p>
    <w:p w14:paraId="6BA7FAC9" w14:textId="77777777" w:rsidR="003837CF" w:rsidRDefault="003837CF">
      <w:pPr>
        <w:rPr>
          <w:rFonts w:ascii="Arial" w:hAnsi="Arial" w:cs="Arial"/>
          <w:sz w:val="28"/>
          <w:szCs w:val="28"/>
          <w:lang w:val="de-DE"/>
        </w:rPr>
      </w:pPr>
    </w:p>
    <w:p w14:paraId="70A0EB85" w14:textId="77777777" w:rsidR="003837CF" w:rsidRDefault="003837CF">
      <w:pPr>
        <w:rPr>
          <w:rFonts w:ascii="Arial" w:hAnsi="Arial" w:cs="Arial"/>
          <w:sz w:val="28"/>
          <w:szCs w:val="28"/>
          <w:lang w:val="de-DE"/>
        </w:rPr>
      </w:pPr>
    </w:p>
    <w:p w14:paraId="47497329" w14:textId="77777777" w:rsidR="003837CF" w:rsidRDefault="003837CF">
      <w:pPr>
        <w:rPr>
          <w:rFonts w:ascii="Arial" w:hAnsi="Arial" w:cs="Arial"/>
          <w:sz w:val="28"/>
          <w:szCs w:val="28"/>
          <w:lang w:val="de-DE"/>
        </w:rPr>
        <w:sectPr w:rsidR="003837CF">
          <w:footerReference w:type="default" r:id="rId8"/>
          <w:pgSz w:w="11906" w:h="16838"/>
          <w:pgMar w:top="1417" w:right="1417" w:bottom="1134" w:left="1417" w:header="708" w:footer="708" w:gutter="0"/>
          <w:cols w:space="708"/>
          <w:docGrid w:linePitch="360"/>
        </w:sectPr>
      </w:pPr>
    </w:p>
    <w:tbl>
      <w:tblPr>
        <w:tblW w:w="14596" w:type="dxa"/>
        <w:tblCellMar>
          <w:left w:w="70" w:type="dxa"/>
          <w:right w:w="70" w:type="dxa"/>
        </w:tblCellMar>
        <w:tblLook w:val="04A0" w:firstRow="1" w:lastRow="0" w:firstColumn="1" w:lastColumn="0" w:noHBand="0" w:noVBand="1"/>
      </w:tblPr>
      <w:tblGrid>
        <w:gridCol w:w="3042"/>
        <w:gridCol w:w="563"/>
        <w:gridCol w:w="1417"/>
        <w:gridCol w:w="1134"/>
        <w:gridCol w:w="1192"/>
        <w:gridCol w:w="1144"/>
        <w:gridCol w:w="1284"/>
        <w:gridCol w:w="992"/>
        <w:gridCol w:w="993"/>
        <w:gridCol w:w="850"/>
        <w:gridCol w:w="992"/>
        <w:gridCol w:w="993"/>
      </w:tblGrid>
      <w:tr w:rsidR="003837CF" w:rsidRPr="003837CF" w14:paraId="6017D822" w14:textId="77777777" w:rsidTr="003837CF">
        <w:trPr>
          <w:trHeight w:val="510"/>
        </w:trPr>
        <w:tc>
          <w:tcPr>
            <w:tcW w:w="304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210DCDE" w14:textId="77777777" w:rsidR="003837CF" w:rsidRPr="003837CF" w:rsidRDefault="003837CF" w:rsidP="003837CF">
            <w:pPr>
              <w:spacing w:after="0" w:line="240" w:lineRule="auto"/>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lastRenderedPageBreak/>
              <w:t>Betreff</w:t>
            </w:r>
          </w:p>
        </w:tc>
        <w:tc>
          <w:tcPr>
            <w:tcW w:w="563" w:type="dxa"/>
            <w:tcBorders>
              <w:top w:val="single" w:sz="4" w:space="0" w:color="auto"/>
              <w:left w:val="nil"/>
              <w:bottom w:val="single" w:sz="4" w:space="0" w:color="auto"/>
              <w:right w:val="single" w:sz="4" w:space="0" w:color="auto"/>
            </w:tcBorders>
            <w:shd w:val="clear" w:color="000000" w:fill="D9D9D9"/>
            <w:vAlign w:val="center"/>
            <w:hideMark/>
          </w:tcPr>
          <w:p w14:paraId="4BF5F6B5" w14:textId="77777777" w:rsidR="003837CF" w:rsidRPr="003837CF" w:rsidRDefault="003837CF" w:rsidP="003837CF">
            <w:pPr>
              <w:spacing w:after="0" w:line="240" w:lineRule="auto"/>
              <w:jc w:val="center"/>
              <w:rPr>
                <w:rFonts w:ascii="Calibri" w:eastAsia="Times New Roman" w:hAnsi="Calibri" w:cs="Calibri"/>
                <w:color w:val="000000"/>
                <w:kern w:val="0"/>
                <w:sz w:val="20"/>
                <w:szCs w:val="20"/>
                <w:lang w:eastAsia="de-AT"/>
                <w14:ligatures w14:val="none"/>
              </w:rPr>
            </w:pPr>
            <w:r w:rsidRPr="003837CF">
              <w:rPr>
                <w:rFonts w:ascii="Calibri" w:eastAsia="Times New Roman" w:hAnsi="Calibri" w:cs="Calibri"/>
                <w:color w:val="000000"/>
                <w:kern w:val="0"/>
                <w:sz w:val="20"/>
                <w:szCs w:val="20"/>
                <w:lang w:eastAsia="de-AT"/>
                <w14:ligatures w14:val="none"/>
              </w:rPr>
              <w:t>Zahl</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3606513A" w14:textId="77777777" w:rsidR="003837CF" w:rsidRPr="003837CF" w:rsidRDefault="003837CF" w:rsidP="003837CF">
            <w:pPr>
              <w:spacing w:after="0" w:line="240" w:lineRule="auto"/>
              <w:jc w:val="center"/>
              <w:rPr>
                <w:rFonts w:ascii="Calibri" w:eastAsia="Times New Roman" w:hAnsi="Calibri" w:cs="Calibri"/>
                <w:color w:val="000000"/>
                <w:kern w:val="0"/>
                <w:sz w:val="20"/>
                <w:szCs w:val="20"/>
                <w:lang w:eastAsia="de-AT"/>
                <w14:ligatures w14:val="none"/>
              </w:rPr>
            </w:pPr>
            <w:r w:rsidRPr="003837CF">
              <w:rPr>
                <w:rFonts w:ascii="Calibri" w:eastAsia="Times New Roman" w:hAnsi="Calibri" w:cs="Calibri"/>
                <w:color w:val="000000"/>
                <w:kern w:val="0"/>
                <w:sz w:val="20"/>
                <w:szCs w:val="20"/>
                <w:lang w:eastAsia="de-AT"/>
                <w14:ligatures w14:val="none"/>
              </w:rPr>
              <w:t>Datum</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2B66DEE3" w14:textId="77777777" w:rsidR="003837CF" w:rsidRPr="003837CF" w:rsidRDefault="003837CF" w:rsidP="003837CF">
            <w:pPr>
              <w:spacing w:after="0" w:line="240" w:lineRule="auto"/>
              <w:rPr>
                <w:rFonts w:ascii="Calibri" w:eastAsia="Times New Roman" w:hAnsi="Calibri" w:cs="Calibri"/>
                <w:color w:val="000000"/>
                <w:kern w:val="0"/>
                <w:sz w:val="20"/>
                <w:szCs w:val="20"/>
                <w:lang w:eastAsia="de-AT"/>
                <w14:ligatures w14:val="none"/>
              </w:rPr>
            </w:pPr>
            <w:r w:rsidRPr="003837CF">
              <w:rPr>
                <w:rFonts w:ascii="Calibri" w:eastAsia="Times New Roman" w:hAnsi="Calibri" w:cs="Calibri"/>
                <w:color w:val="000000"/>
                <w:kern w:val="0"/>
                <w:sz w:val="20"/>
                <w:szCs w:val="20"/>
                <w:lang w:eastAsia="de-AT"/>
                <w14:ligatures w14:val="none"/>
              </w:rPr>
              <w:t>Ausschuss</w:t>
            </w:r>
          </w:p>
        </w:tc>
        <w:tc>
          <w:tcPr>
            <w:tcW w:w="1192" w:type="dxa"/>
            <w:tcBorders>
              <w:top w:val="single" w:sz="4" w:space="0" w:color="auto"/>
              <w:left w:val="nil"/>
              <w:bottom w:val="single" w:sz="4" w:space="0" w:color="auto"/>
              <w:right w:val="single" w:sz="4" w:space="0" w:color="auto"/>
            </w:tcBorders>
            <w:shd w:val="clear" w:color="000000" w:fill="D9D9D9"/>
            <w:vAlign w:val="center"/>
            <w:hideMark/>
          </w:tcPr>
          <w:p w14:paraId="24816283" w14:textId="77777777" w:rsidR="003837CF" w:rsidRPr="003837CF" w:rsidRDefault="003837CF" w:rsidP="003837CF">
            <w:pPr>
              <w:spacing w:after="0" w:line="240" w:lineRule="auto"/>
              <w:rPr>
                <w:rFonts w:ascii="Calibri" w:eastAsia="Times New Roman" w:hAnsi="Calibri" w:cs="Calibri"/>
                <w:color w:val="000000"/>
                <w:kern w:val="0"/>
                <w:sz w:val="20"/>
                <w:szCs w:val="20"/>
                <w:lang w:eastAsia="de-AT"/>
                <w14:ligatures w14:val="none"/>
              </w:rPr>
            </w:pPr>
            <w:r w:rsidRPr="003837CF">
              <w:rPr>
                <w:rFonts w:ascii="Calibri" w:eastAsia="Times New Roman" w:hAnsi="Calibri" w:cs="Calibri"/>
                <w:color w:val="000000"/>
                <w:kern w:val="0"/>
                <w:sz w:val="20"/>
                <w:szCs w:val="20"/>
                <w:lang w:eastAsia="de-AT"/>
                <w14:ligatures w14:val="none"/>
              </w:rPr>
              <w:t>Link</w:t>
            </w:r>
          </w:p>
        </w:tc>
        <w:tc>
          <w:tcPr>
            <w:tcW w:w="1144" w:type="dxa"/>
            <w:tcBorders>
              <w:top w:val="single" w:sz="4" w:space="0" w:color="auto"/>
              <w:left w:val="nil"/>
              <w:bottom w:val="single" w:sz="4" w:space="0" w:color="auto"/>
              <w:right w:val="single" w:sz="4" w:space="0" w:color="auto"/>
            </w:tcBorders>
            <w:shd w:val="clear" w:color="000000" w:fill="D9D9D9"/>
            <w:vAlign w:val="center"/>
            <w:hideMark/>
          </w:tcPr>
          <w:p w14:paraId="1458776E" w14:textId="77777777" w:rsidR="003837CF" w:rsidRPr="003837CF" w:rsidRDefault="003837CF" w:rsidP="003837CF">
            <w:pPr>
              <w:spacing w:after="0" w:line="240" w:lineRule="auto"/>
              <w:jc w:val="center"/>
              <w:rPr>
                <w:rFonts w:ascii="Calibri" w:eastAsia="Times New Roman" w:hAnsi="Calibri" w:cs="Calibri"/>
                <w:color w:val="000000"/>
                <w:kern w:val="0"/>
                <w:sz w:val="20"/>
                <w:szCs w:val="20"/>
                <w:lang w:eastAsia="de-AT"/>
                <w14:ligatures w14:val="none"/>
              </w:rPr>
            </w:pPr>
            <w:r w:rsidRPr="003837CF">
              <w:rPr>
                <w:rFonts w:ascii="Calibri" w:eastAsia="Times New Roman" w:hAnsi="Calibri" w:cs="Calibri"/>
                <w:color w:val="000000"/>
                <w:kern w:val="0"/>
                <w:sz w:val="20"/>
                <w:szCs w:val="20"/>
                <w:lang w:eastAsia="de-AT"/>
                <w14:ligatures w14:val="none"/>
              </w:rPr>
              <w:t>Ausschuss-Datum</w:t>
            </w:r>
          </w:p>
        </w:tc>
        <w:tc>
          <w:tcPr>
            <w:tcW w:w="1284" w:type="dxa"/>
            <w:tcBorders>
              <w:top w:val="single" w:sz="4" w:space="0" w:color="auto"/>
              <w:left w:val="nil"/>
              <w:bottom w:val="single" w:sz="4" w:space="0" w:color="auto"/>
              <w:right w:val="single" w:sz="4" w:space="0" w:color="auto"/>
            </w:tcBorders>
            <w:shd w:val="clear" w:color="000000" w:fill="D9D9D9"/>
            <w:vAlign w:val="center"/>
            <w:hideMark/>
          </w:tcPr>
          <w:p w14:paraId="20EA75AE" w14:textId="77777777" w:rsidR="003837CF" w:rsidRPr="003837CF" w:rsidRDefault="003837CF" w:rsidP="003837CF">
            <w:pPr>
              <w:spacing w:after="0" w:line="240" w:lineRule="auto"/>
              <w:rPr>
                <w:rFonts w:ascii="Calibri" w:eastAsia="Times New Roman" w:hAnsi="Calibri" w:cs="Calibri"/>
                <w:color w:val="000000"/>
                <w:kern w:val="0"/>
                <w:sz w:val="20"/>
                <w:szCs w:val="20"/>
                <w:lang w:eastAsia="de-AT"/>
                <w14:ligatures w14:val="none"/>
              </w:rPr>
            </w:pPr>
            <w:r w:rsidRPr="003837CF">
              <w:rPr>
                <w:rFonts w:ascii="Calibri" w:eastAsia="Times New Roman" w:hAnsi="Calibri" w:cs="Calibri"/>
                <w:color w:val="000000"/>
                <w:kern w:val="0"/>
                <w:sz w:val="20"/>
                <w:szCs w:val="20"/>
                <w:lang w:eastAsia="de-AT"/>
                <w14:ligatures w14:val="none"/>
              </w:rPr>
              <w:t>LT-Datum</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5DB148F5" w14:textId="77777777" w:rsidR="003837CF" w:rsidRPr="003837CF" w:rsidRDefault="003837CF" w:rsidP="003837CF">
            <w:pPr>
              <w:spacing w:after="0" w:line="240" w:lineRule="auto"/>
              <w:jc w:val="center"/>
              <w:rPr>
                <w:rFonts w:ascii="Calibri" w:eastAsia="Times New Roman" w:hAnsi="Calibri" w:cs="Calibri"/>
                <w:b/>
                <w:bCs/>
                <w:color w:val="000000"/>
                <w:kern w:val="0"/>
                <w:sz w:val="20"/>
                <w:szCs w:val="20"/>
                <w:lang w:eastAsia="de-AT"/>
                <w14:ligatures w14:val="none"/>
              </w:rPr>
            </w:pPr>
            <w:r w:rsidRPr="003837CF">
              <w:rPr>
                <w:rFonts w:ascii="Calibri" w:eastAsia="Times New Roman" w:hAnsi="Calibri" w:cs="Calibri"/>
                <w:b/>
                <w:bCs/>
                <w:color w:val="000000"/>
                <w:kern w:val="0"/>
                <w:sz w:val="20"/>
                <w:szCs w:val="20"/>
                <w:lang w:eastAsia="de-AT"/>
                <w14:ligatures w14:val="none"/>
              </w:rPr>
              <w:t>ÖVP</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7548DA68" w14:textId="77777777" w:rsidR="003837CF" w:rsidRPr="003837CF" w:rsidRDefault="003837CF" w:rsidP="003837CF">
            <w:pPr>
              <w:spacing w:after="0" w:line="240" w:lineRule="auto"/>
              <w:jc w:val="center"/>
              <w:rPr>
                <w:rFonts w:ascii="Calibri" w:eastAsia="Times New Roman" w:hAnsi="Calibri" w:cs="Calibri"/>
                <w:b/>
                <w:bCs/>
                <w:color w:val="305496"/>
                <w:kern w:val="0"/>
                <w:sz w:val="20"/>
                <w:szCs w:val="20"/>
                <w:lang w:eastAsia="de-AT"/>
                <w14:ligatures w14:val="none"/>
              </w:rPr>
            </w:pPr>
            <w:r w:rsidRPr="003837CF">
              <w:rPr>
                <w:rFonts w:ascii="Calibri" w:eastAsia="Times New Roman" w:hAnsi="Calibri" w:cs="Calibri"/>
                <w:b/>
                <w:bCs/>
                <w:color w:val="305496"/>
                <w:kern w:val="0"/>
                <w:sz w:val="20"/>
                <w:szCs w:val="20"/>
                <w:lang w:eastAsia="de-AT"/>
                <w14:ligatures w14:val="none"/>
              </w:rPr>
              <w:t>FPÖ</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06EFCE35" w14:textId="77777777" w:rsidR="003837CF" w:rsidRPr="003837CF" w:rsidRDefault="003837CF" w:rsidP="003837CF">
            <w:pPr>
              <w:spacing w:after="0" w:line="240" w:lineRule="auto"/>
              <w:jc w:val="center"/>
              <w:rPr>
                <w:rFonts w:ascii="Calibri" w:eastAsia="Times New Roman" w:hAnsi="Calibri" w:cs="Calibri"/>
                <w:b/>
                <w:bCs/>
                <w:color w:val="C00000"/>
                <w:kern w:val="0"/>
                <w:sz w:val="20"/>
                <w:szCs w:val="20"/>
                <w:lang w:eastAsia="de-AT"/>
                <w14:ligatures w14:val="none"/>
              </w:rPr>
            </w:pPr>
            <w:r w:rsidRPr="003837CF">
              <w:rPr>
                <w:rFonts w:ascii="Calibri" w:eastAsia="Times New Roman" w:hAnsi="Calibri" w:cs="Calibri"/>
                <w:b/>
                <w:bCs/>
                <w:color w:val="C00000"/>
                <w:kern w:val="0"/>
                <w:sz w:val="20"/>
                <w:szCs w:val="20"/>
                <w:lang w:eastAsia="de-AT"/>
                <w14:ligatures w14:val="none"/>
              </w:rPr>
              <w:t>SPÖ</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38C675A3" w14:textId="77777777" w:rsidR="003837CF" w:rsidRPr="003837CF" w:rsidRDefault="003837CF" w:rsidP="003837CF">
            <w:pPr>
              <w:spacing w:after="0" w:line="240" w:lineRule="auto"/>
              <w:jc w:val="center"/>
              <w:rPr>
                <w:rFonts w:ascii="Calibri" w:eastAsia="Times New Roman" w:hAnsi="Calibri" w:cs="Calibri"/>
                <w:b/>
                <w:bCs/>
                <w:color w:val="548235"/>
                <w:kern w:val="0"/>
                <w:sz w:val="20"/>
                <w:szCs w:val="20"/>
                <w:lang w:eastAsia="de-AT"/>
                <w14:ligatures w14:val="none"/>
              </w:rPr>
            </w:pPr>
            <w:r w:rsidRPr="003837CF">
              <w:rPr>
                <w:rFonts w:ascii="Calibri" w:eastAsia="Times New Roman" w:hAnsi="Calibri" w:cs="Calibri"/>
                <w:b/>
                <w:bCs/>
                <w:color w:val="548235"/>
                <w:kern w:val="0"/>
                <w:sz w:val="20"/>
                <w:szCs w:val="20"/>
                <w:lang w:eastAsia="de-AT"/>
                <w14:ligatures w14:val="none"/>
              </w:rPr>
              <w:t>GRÜNE</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309BB267" w14:textId="77777777" w:rsidR="003837CF" w:rsidRPr="003837CF" w:rsidRDefault="003837CF" w:rsidP="003837CF">
            <w:pPr>
              <w:spacing w:after="0" w:line="240" w:lineRule="auto"/>
              <w:jc w:val="center"/>
              <w:rPr>
                <w:rFonts w:ascii="Calibri" w:eastAsia="Times New Roman" w:hAnsi="Calibri" w:cs="Calibri"/>
                <w:b/>
                <w:bCs/>
                <w:color w:val="E048B5"/>
                <w:kern w:val="0"/>
                <w:sz w:val="20"/>
                <w:szCs w:val="20"/>
                <w:lang w:eastAsia="de-AT"/>
                <w14:ligatures w14:val="none"/>
              </w:rPr>
            </w:pPr>
            <w:r w:rsidRPr="003837CF">
              <w:rPr>
                <w:rFonts w:ascii="Calibri" w:eastAsia="Times New Roman" w:hAnsi="Calibri" w:cs="Calibri"/>
                <w:b/>
                <w:bCs/>
                <w:color w:val="E048B5"/>
                <w:kern w:val="0"/>
                <w:sz w:val="20"/>
                <w:szCs w:val="20"/>
                <w:lang w:eastAsia="de-AT"/>
                <w14:ligatures w14:val="none"/>
              </w:rPr>
              <w:t>NEOS</w:t>
            </w:r>
          </w:p>
        </w:tc>
      </w:tr>
      <w:tr w:rsidR="003837CF" w:rsidRPr="003837CF" w14:paraId="0D7EAE78" w14:textId="77777777" w:rsidTr="003837CF">
        <w:trPr>
          <w:trHeight w:val="870"/>
        </w:trPr>
        <w:tc>
          <w:tcPr>
            <w:tcW w:w="3042" w:type="dxa"/>
            <w:tcBorders>
              <w:top w:val="nil"/>
              <w:left w:val="single" w:sz="4" w:space="0" w:color="auto"/>
              <w:bottom w:val="single" w:sz="4" w:space="0" w:color="auto"/>
              <w:right w:val="single" w:sz="4" w:space="0" w:color="auto"/>
            </w:tcBorders>
            <w:shd w:val="clear" w:color="auto" w:fill="auto"/>
            <w:vAlign w:val="bottom"/>
            <w:hideMark/>
          </w:tcPr>
          <w:p w14:paraId="0DCB6B78" w14:textId="77777777" w:rsidR="003837CF" w:rsidRPr="003837CF" w:rsidRDefault="003837CF" w:rsidP="003837CF">
            <w:pPr>
              <w:spacing w:after="0" w:line="240" w:lineRule="auto"/>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 xml:space="preserve">Antrag d. </w:t>
            </w:r>
            <w:proofErr w:type="spellStart"/>
            <w:r w:rsidRPr="003837CF">
              <w:rPr>
                <w:rFonts w:ascii="Calibri" w:eastAsia="Times New Roman" w:hAnsi="Calibri" w:cs="Calibri"/>
                <w:color w:val="000000"/>
                <w:kern w:val="0"/>
                <w:lang w:eastAsia="de-AT"/>
                <w14:ligatures w14:val="none"/>
              </w:rPr>
              <w:t>Abg</w:t>
            </w:r>
            <w:proofErr w:type="spellEnd"/>
            <w:r w:rsidRPr="003837CF">
              <w:rPr>
                <w:rFonts w:ascii="Calibri" w:eastAsia="Times New Roman" w:hAnsi="Calibri" w:cs="Calibri"/>
                <w:color w:val="000000"/>
                <w:kern w:val="0"/>
                <w:lang w:eastAsia="de-AT"/>
                <w14:ligatures w14:val="none"/>
              </w:rPr>
              <w:t>. Samwald, u. a. betr. Mietenstopp jetzt statt Mogelpackung</w:t>
            </w:r>
          </w:p>
        </w:tc>
        <w:tc>
          <w:tcPr>
            <w:tcW w:w="563" w:type="dxa"/>
            <w:tcBorders>
              <w:top w:val="nil"/>
              <w:left w:val="nil"/>
              <w:bottom w:val="single" w:sz="4" w:space="0" w:color="auto"/>
              <w:right w:val="single" w:sz="4" w:space="0" w:color="auto"/>
            </w:tcBorders>
            <w:shd w:val="clear" w:color="auto" w:fill="auto"/>
            <w:noWrap/>
            <w:vAlign w:val="bottom"/>
            <w:hideMark/>
          </w:tcPr>
          <w:p w14:paraId="4FE68946"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174</w:t>
            </w:r>
          </w:p>
        </w:tc>
        <w:tc>
          <w:tcPr>
            <w:tcW w:w="1417" w:type="dxa"/>
            <w:tcBorders>
              <w:top w:val="nil"/>
              <w:left w:val="nil"/>
              <w:bottom w:val="single" w:sz="4" w:space="0" w:color="auto"/>
              <w:right w:val="single" w:sz="4" w:space="0" w:color="auto"/>
            </w:tcBorders>
            <w:shd w:val="clear" w:color="auto" w:fill="auto"/>
            <w:noWrap/>
            <w:vAlign w:val="bottom"/>
            <w:hideMark/>
          </w:tcPr>
          <w:p w14:paraId="5A2D227D"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21.09.2023</w:t>
            </w:r>
          </w:p>
        </w:tc>
        <w:tc>
          <w:tcPr>
            <w:tcW w:w="1134" w:type="dxa"/>
            <w:tcBorders>
              <w:top w:val="nil"/>
              <w:left w:val="nil"/>
              <w:bottom w:val="single" w:sz="4" w:space="0" w:color="auto"/>
              <w:right w:val="single" w:sz="4" w:space="0" w:color="auto"/>
            </w:tcBorders>
            <w:shd w:val="clear" w:color="auto" w:fill="auto"/>
            <w:noWrap/>
            <w:vAlign w:val="bottom"/>
            <w:hideMark/>
          </w:tcPr>
          <w:p w14:paraId="1090EA02" w14:textId="77777777" w:rsidR="003837CF" w:rsidRPr="003837CF" w:rsidRDefault="003837CF" w:rsidP="003837CF">
            <w:pPr>
              <w:spacing w:after="0" w:line="240" w:lineRule="auto"/>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W. u. F.</w:t>
            </w:r>
          </w:p>
        </w:tc>
        <w:tc>
          <w:tcPr>
            <w:tcW w:w="1192" w:type="dxa"/>
            <w:tcBorders>
              <w:top w:val="nil"/>
              <w:left w:val="nil"/>
              <w:bottom w:val="single" w:sz="4" w:space="0" w:color="000000"/>
              <w:right w:val="single" w:sz="4" w:space="0" w:color="000000"/>
            </w:tcBorders>
            <w:shd w:val="clear" w:color="auto" w:fill="auto"/>
            <w:vAlign w:val="bottom"/>
            <w:hideMark/>
          </w:tcPr>
          <w:p w14:paraId="226E04FA" w14:textId="77777777" w:rsidR="003837CF" w:rsidRPr="003837CF" w:rsidRDefault="00FE6916" w:rsidP="003837CF">
            <w:pPr>
              <w:spacing w:after="0" w:line="240" w:lineRule="auto"/>
              <w:rPr>
                <w:rFonts w:ascii="Calibri" w:eastAsia="Times New Roman" w:hAnsi="Calibri" w:cs="Calibri"/>
                <w:color w:val="0563C1"/>
                <w:kern w:val="0"/>
                <w:u w:val="single"/>
                <w:lang w:eastAsia="de-AT"/>
                <w14:ligatures w14:val="none"/>
              </w:rPr>
            </w:pPr>
            <w:hyperlink r:id="rId9" w:history="1">
              <w:r w:rsidR="003837CF" w:rsidRPr="003837CF">
                <w:rPr>
                  <w:rFonts w:ascii="Calibri" w:eastAsia="Times New Roman" w:hAnsi="Calibri" w:cs="Calibri"/>
                  <w:color w:val="0563C1"/>
                  <w:kern w:val="0"/>
                  <w:u w:val="single"/>
                  <w:lang w:eastAsia="de-AT"/>
                  <w14:ligatures w14:val="none"/>
                </w:rPr>
                <w:t>Ltg.-174/A-3/10-2023</w:t>
              </w:r>
            </w:hyperlink>
          </w:p>
        </w:tc>
        <w:tc>
          <w:tcPr>
            <w:tcW w:w="1144" w:type="dxa"/>
            <w:tcBorders>
              <w:top w:val="nil"/>
              <w:left w:val="nil"/>
              <w:bottom w:val="single" w:sz="4" w:space="0" w:color="auto"/>
              <w:right w:val="single" w:sz="4" w:space="0" w:color="auto"/>
            </w:tcBorders>
            <w:shd w:val="clear" w:color="auto" w:fill="auto"/>
            <w:noWrap/>
            <w:vAlign w:val="center"/>
            <w:hideMark/>
          </w:tcPr>
          <w:p w14:paraId="2ECDF9A8"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 </w:t>
            </w:r>
          </w:p>
        </w:tc>
        <w:tc>
          <w:tcPr>
            <w:tcW w:w="1284" w:type="dxa"/>
            <w:tcBorders>
              <w:top w:val="nil"/>
              <w:left w:val="nil"/>
              <w:bottom w:val="single" w:sz="4" w:space="0" w:color="auto"/>
              <w:right w:val="single" w:sz="4" w:space="0" w:color="auto"/>
            </w:tcBorders>
            <w:shd w:val="clear" w:color="auto" w:fill="auto"/>
            <w:noWrap/>
            <w:vAlign w:val="center"/>
            <w:hideMark/>
          </w:tcPr>
          <w:p w14:paraId="2EEF7E45" w14:textId="77777777" w:rsidR="003837CF" w:rsidRPr="003837CF" w:rsidRDefault="003837CF" w:rsidP="003837CF">
            <w:pPr>
              <w:spacing w:after="0" w:line="240" w:lineRule="auto"/>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 </w:t>
            </w:r>
          </w:p>
        </w:tc>
        <w:tc>
          <w:tcPr>
            <w:tcW w:w="4820" w:type="dxa"/>
            <w:gridSpan w:val="5"/>
            <w:tcBorders>
              <w:top w:val="single" w:sz="4" w:space="0" w:color="auto"/>
              <w:left w:val="nil"/>
              <w:bottom w:val="single" w:sz="4" w:space="0" w:color="auto"/>
              <w:right w:val="nil"/>
            </w:tcBorders>
            <w:shd w:val="clear" w:color="auto" w:fill="auto"/>
            <w:noWrap/>
            <w:vAlign w:val="center"/>
            <w:hideMark/>
          </w:tcPr>
          <w:p w14:paraId="34CBE78C" w14:textId="77777777" w:rsidR="003837CF" w:rsidRPr="003837CF" w:rsidRDefault="003837CF" w:rsidP="003837CF">
            <w:pPr>
              <w:spacing w:after="0" w:line="240" w:lineRule="auto"/>
              <w:jc w:val="center"/>
              <w:rPr>
                <w:rFonts w:ascii="Calibri" w:eastAsia="Times New Roman" w:hAnsi="Calibri" w:cs="Calibri"/>
                <w:b/>
                <w:bCs/>
                <w:color w:val="000000"/>
                <w:kern w:val="0"/>
                <w:sz w:val="28"/>
                <w:szCs w:val="28"/>
                <w:lang w:eastAsia="de-AT"/>
                <w14:ligatures w14:val="none"/>
              </w:rPr>
            </w:pPr>
            <w:r w:rsidRPr="003837CF">
              <w:rPr>
                <w:rFonts w:ascii="Calibri" w:eastAsia="Times New Roman" w:hAnsi="Calibri" w:cs="Calibri"/>
                <w:b/>
                <w:bCs/>
                <w:color w:val="000000"/>
                <w:kern w:val="0"/>
                <w:sz w:val="28"/>
                <w:szCs w:val="28"/>
                <w:lang w:eastAsia="de-AT"/>
                <w14:ligatures w14:val="none"/>
              </w:rPr>
              <w:t>vertagt - noch nicht behandelt</w:t>
            </w:r>
          </w:p>
        </w:tc>
      </w:tr>
      <w:tr w:rsidR="003837CF" w:rsidRPr="003837CF" w14:paraId="1D6CDA4B" w14:textId="77777777" w:rsidTr="003837CF">
        <w:trPr>
          <w:trHeight w:val="945"/>
        </w:trPr>
        <w:tc>
          <w:tcPr>
            <w:tcW w:w="3042" w:type="dxa"/>
            <w:tcBorders>
              <w:top w:val="nil"/>
              <w:left w:val="single" w:sz="4" w:space="0" w:color="auto"/>
              <w:bottom w:val="single" w:sz="4" w:space="0" w:color="auto"/>
              <w:right w:val="single" w:sz="4" w:space="0" w:color="auto"/>
            </w:tcBorders>
            <w:shd w:val="clear" w:color="auto" w:fill="auto"/>
            <w:vAlign w:val="bottom"/>
            <w:hideMark/>
          </w:tcPr>
          <w:p w14:paraId="4FF7E572" w14:textId="77777777" w:rsidR="003837CF" w:rsidRPr="003837CF" w:rsidRDefault="003837CF" w:rsidP="003837CF">
            <w:pPr>
              <w:spacing w:after="0" w:line="240" w:lineRule="auto"/>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 xml:space="preserve">Antrag d. </w:t>
            </w:r>
            <w:proofErr w:type="spellStart"/>
            <w:r w:rsidRPr="003837CF">
              <w:rPr>
                <w:rFonts w:ascii="Calibri" w:eastAsia="Times New Roman" w:hAnsi="Calibri" w:cs="Calibri"/>
                <w:color w:val="000000"/>
                <w:kern w:val="0"/>
                <w:lang w:eastAsia="de-AT"/>
                <w14:ligatures w14:val="none"/>
              </w:rPr>
              <w:t>Abg</w:t>
            </w:r>
            <w:proofErr w:type="spellEnd"/>
            <w:r w:rsidRPr="003837CF">
              <w:rPr>
                <w:rFonts w:ascii="Calibri" w:eastAsia="Times New Roman" w:hAnsi="Calibri" w:cs="Calibri"/>
                <w:color w:val="000000"/>
                <w:kern w:val="0"/>
                <w:lang w:eastAsia="de-AT"/>
                <w14:ligatures w14:val="none"/>
              </w:rPr>
              <w:t>. Samwald, u. a. betr. Zinsdeckel für Häuslbauer- und Wohnungskredite</w:t>
            </w:r>
          </w:p>
        </w:tc>
        <w:tc>
          <w:tcPr>
            <w:tcW w:w="563" w:type="dxa"/>
            <w:tcBorders>
              <w:top w:val="nil"/>
              <w:left w:val="nil"/>
              <w:bottom w:val="single" w:sz="4" w:space="0" w:color="auto"/>
              <w:right w:val="single" w:sz="4" w:space="0" w:color="auto"/>
            </w:tcBorders>
            <w:shd w:val="clear" w:color="000000" w:fill="A9D08E"/>
            <w:noWrap/>
            <w:vAlign w:val="bottom"/>
            <w:hideMark/>
          </w:tcPr>
          <w:p w14:paraId="742A1490"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175</w:t>
            </w:r>
          </w:p>
        </w:tc>
        <w:tc>
          <w:tcPr>
            <w:tcW w:w="1417" w:type="dxa"/>
            <w:tcBorders>
              <w:top w:val="nil"/>
              <w:left w:val="nil"/>
              <w:bottom w:val="single" w:sz="4" w:space="0" w:color="auto"/>
              <w:right w:val="single" w:sz="4" w:space="0" w:color="auto"/>
            </w:tcBorders>
            <w:shd w:val="clear" w:color="auto" w:fill="auto"/>
            <w:noWrap/>
            <w:vAlign w:val="bottom"/>
            <w:hideMark/>
          </w:tcPr>
          <w:p w14:paraId="0D63C377"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21.09.2023</w:t>
            </w:r>
          </w:p>
        </w:tc>
        <w:tc>
          <w:tcPr>
            <w:tcW w:w="1134" w:type="dxa"/>
            <w:tcBorders>
              <w:top w:val="nil"/>
              <w:left w:val="nil"/>
              <w:bottom w:val="single" w:sz="4" w:space="0" w:color="auto"/>
              <w:right w:val="single" w:sz="4" w:space="0" w:color="auto"/>
            </w:tcBorders>
            <w:shd w:val="clear" w:color="auto" w:fill="auto"/>
            <w:noWrap/>
            <w:vAlign w:val="bottom"/>
            <w:hideMark/>
          </w:tcPr>
          <w:p w14:paraId="474E561E" w14:textId="77777777" w:rsidR="003837CF" w:rsidRPr="003837CF" w:rsidRDefault="003837CF" w:rsidP="003837CF">
            <w:pPr>
              <w:spacing w:after="0" w:line="240" w:lineRule="auto"/>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W. u. F.</w:t>
            </w:r>
          </w:p>
        </w:tc>
        <w:tc>
          <w:tcPr>
            <w:tcW w:w="1192" w:type="dxa"/>
            <w:tcBorders>
              <w:top w:val="nil"/>
              <w:left w:val="nil"/>
              <w:bottom w:val="single" w:sz="4" w:space="0" w:color="000000"/>
              <w:right w:val="single" w:sz="4" w:space="0" w:color="000000"/>
            </w:tcBorders>
            <w:shd w:val="clear" w:color="auto" w:fill="auto"/>
            <w:vAlign w:val="bottom"/>
            <w:hideMark/>
          </w:tcPr>
          <w:p w14:paraId="234A84FB" w14:textId="77777777" w:rsidR="003837CF" w:rsidRPr="003837CF" w:rsidRDefault="00FE6916" w:rsidP="003837CF">
            <w:pPr>
              <w:spacing w:after="0" w:line="240" w:lineRule="auto"/>
              <w:rPr>
                <w:rFonts w:ascii="Calibri" w:eastAsia="Times New Roman" w:hAnsi="Calibri" w:cs="Calibri"/>
                <w:color w:val="0563C1"/>
                <w:kern w:val="0"/>
                <w:u w:val="single"/>
                <w:lang w:eastAsia="de-AT"/>
                <w14:ligatures w14:val="none"/>
              </w:rPr>
            </w:pPr>
            <w:hyperlink r:id="rId10" w:history="1">
              <w:r w:rsidR="003837CF" w:rsidRPr="003837CF">
                <w:rPr>
                  <w:rFonts w:ascii="Calibri" w:eastAsia="Times New Roman" w:hAnsi="Calibri" w:cs="Calibri"/>
                  <w:color w:val="0563C1"/>
                  <w:kern w:val="0"/>
                  <w:u w:val="single"/>
                  <w:lang w:eastAsia="de-AT"/>
                  <w14:ligatures w14:val="none"/>
                </w:rPr>
                <w:t>Ltg.-175/A-3/11-2023</w:t>
              </w:r>
            </w:hyperlink>
          </w:p>
        </w:tc>
        <w:tc>
          <w:tcPr>
            <w:tcW w:w="1144" w:type="dxa"/>
            <w:tcBorders>
              <w:top w:val="nil"/>
              <w:left w:val="nil"/>
              <w:bottom w:val="single" w:sz="4" w:space="0" w:color="auto"/>
              <w:right w:val="single" w:sz="4" w:space="0" w:color="auto"/>
            </w:tcBorders>
            <w:shd w:val="clear" w:color="auto" w:fill="auto"/>
            <w:noWrap/>
            <w:vAlign w:val="center"/>
            <w:hideMark/>
          </w:tcPr>
          <w:p w14:paraId="2D81682F"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19.10.2023</w:t>
            </w:r>
          </w:p>
        </w:tc>
        <w:tc>
          <w:tcPr>
            <w:tcW w:w="1284" w:type="dxa"/>
            <w:tcBorders>
              <w:top w:val="nil"/>
              <w:left w:val="nil"/>
              <w:bottom w:val="single" w:sz="4" w:space="0" w:color="auto"/>
              <w:right w:val="single" w:sz="4" w:space="0" w:color="auto"/>
            </w:tcBorders>
            <w:shd w:val="clear" w:color="auto" w:fill="auto"/>
            <w:noWrap/>
            <w:vAlign w:val="center"/>
            <w:hideMark/>
          </w:tcPr>
          <w:p w14:paraId="5886953C" w14:textId="77777777" w:rsidR="003837CF" w:rsidRPr="003837CF" w:rsidRDefault="003837CF" w:rsidP="003837CF">
            <w:pPr>
              <w:spacing w:after="0" w:line="240" w:lineRule="auto"/>
              <w:jc w:val="right"/>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25.10.2023</w:t>
            </w:r>
          </w:p>
        </w:tc>
        <w:tc>
          <w:tcPr>
            <w:tcW w:w="992" w:type="dxa"/>
            <w:tcBorders>
              <w:top w:val="nil"/>
              <w:left w:val="nil"/>
              <w:bottom w:val="single" w:sz="4" w:space="0" w:color="auto"/>
              <w:right w:val="single" w:sz="4" w:space="0" w:color="auto"/>
            </w:tcBorders>
            <w:shd w:val="clear" w:color="auto" w:fill="auto"/>
            <w:noWrap/>
            <w:vAlign w:val="center"/>
            <w:hideMark/>
          </w:tcPr>
          <w:p w14:paraId="3E18078C" w14:textId="77777777" w:rsidR="003837CF" w:rsidRPr="003837CF" w:rsidRDefault="003837CF" w:rsidP="003837CF">
            <w:pPr>
              <w:spacing w:after="0" w:line="240" w:lineRule="auto"/>
              <w:jc w:val="center"/>
              <w:rPr>
                <w:rFonts w:ascii="Calibri" w:eastAsia="Times New Roman" w:hAnsi="Calibri" w:cs="Calibri"/>
                <w:b/>
                <w:bCs/>
                <w:color w:val="000000"/>
                <w:kern w:val="0"/>
                <w:sz w:val="28"/>
                <w:szCs w:val="28"/>
                <w:lang w:eastAsia="de-AT"/>
                <w14:ligatures w14:val="none"/>
              </w:rPr>
            </w:pPr>
            <w:r w:rsidRPr="003837CF">
              <w:rPr>
                <w:rFonts w:ascii="Calibri" w:eastAsia="Times New Roman" w:hAnsi="Calibri" w:cs="Calibri"/>
                <w:b/>
                <w:bCs/>
                <w:color w:val="000000"/>
                <w:kern w:val="0"/>
                <w:sz w:val="28"/>
                <w:szCs w:val="28"/>
                <w:lang w:eastAsia="de-AT"/>
                <w14:ligatures w14:val="none"/>
              </w:rPr>
              <w:t>-</w:t>
            </w:r>
          </w:p>
        </w:tc>
        <w:tc>
          <w:tcPr>
            <w:tcW w:w="993" w:type="dxa"/>
            <w:tcBorders>
              <w:top w:val="nil"/>
              <w:left w:val="nil"/>
              <w:bottom w:val="single" w:sz="4" w:space="0" w:color="auto"/>
              <w:right w:val="single" w:sz="4" w:space="0" w:color="auto"/>
            </w:tcBorders>
            <w:shd w:val="clear" w:color="auto" w:fill="auto"/>
            <w:noWrap/>
            <w:vAlign w:val="center"/>
            <w:hideMark/>
          </w:tcPr>
          <w:p w14:paraId="3AE65D27" w14:textId="77777777" w:rsidR="003837CF" w:rsidRPr="003837CF" w:rsidRDefault="003837CF" w:rsidP="003837CF">
            <w:pPr>
              <w:spacing w:after="0" w:line="240" w:lineRule="auto"/>
              <w:jc w:val="center"/>
              <w:rPr>
                <w:rFonts w:ascii="Calibri" w:eastAsia="Times New Roman" w:hAnsi="Calibri" w:cs="Calibri"/>
                <w:b/>
                <w:bCs/>
                <w:color w:val="305496"/>
                <w:kern w:val="0"/>
                <w:sz w:val="28"/>
                <w:szCs w:val="28"/>
                <w:lang w:eastAsia="de-AT"/>
                <w14:ligatures w14:val="none"/>
              </w:rPr>
            </w:pPr>
            <w:r w:rsidRPr="003837CF">
              <w:rPr>
                <w:rFonts w:ascii="Calibri" w:eastAsia="Times New Roman" w:hAnsi="Calibri" w:cs="Calibri"/>
                <w:b/>
                <w:bCs/>
                <w:color w:val="305496"/>
                <w:kern w:val="0"/>
                <w:sz w:val="28"/>
                <w:szCs w:val="28"/>
                <w:lang w:eastAsia="de-AT"/>
                <w14:ligatures w14:val="none"/>
              </w:rPr>
              <w:t>-</w:t>
            </w:r>
          </w:p>
        </w:tc>
        <w:tc>
          <w:tcPr>
            <w:tcW w:w="850" w:type="dxa"/>
            <w:tcBorders>
              <w:top w:val="nil"/>
              <w:left w:val="nil"/>
              <w:bottom w:val="single" w:sz="4" w:space="0" w:color="auto"/>
              <w:right w:val="single" w:sz="4" w:space="0" w:color="auto"/>
            </w:tcBorders>
            <w:shd w:val="clear" w:color="auto" w:fill="auto"/>
            <w:noWrap/>
            <w:vAlign w:val="center"/>
            <w:hideMark/>
          </w:tcPr>
          <w:p w14:paraId="32906C19" w14:textId="77777777" w:rsidR="003837CF" w:rsidRPr="003837CF" w:rsidRDefault="003837CF" w:rsidP="003837CF">
            <w:pPr>
              <w:spacing w:after="0" w:line="240" w:lineRule="auto"/>
              <w:jc w:val="center"/>
              <w:rPr>
                <w:rFonts w:ascii="Calibri" w:eastAsia="Times New Roman" w:hAnsi="Calibri" w:cs="Calibri"/>
                <w:b/>
                <w:bCs/>
                <w:color w:val="C00000"/>
                <w:kern w:val="0"/>
                <w:sz w:val="28"/>
                <w:szCs w:val="28"/>
                <w:lang w:eastAsia="de-AT"/>
                <w14:ligatures w14:val="none"/>
              </w:rPr>
            </w:pPr>
            <w:r w:rsidRPr="003837CF">
              <w:rPr>
                <w:rFonts w:ascii="Calibri" w:eastAsia="Times New Roman" w:hAnsi="Calibri" w:cs="Calibri"/>
                <w:b/>
                <w:bCs/>
                <w:color w:val="C00000"/>
                <w:kern w:val="0"/>
                <w:sz w:val="28"/>
                <w:szCs w:val="28"/>
                <w:lang w:eastAsia="de-AT"/>
                <w14:ligatures w14:val="none"/>
              </w:rPr>
              <w:t>+</w:t>
            </w:r>
          </w:p>
        </w:tc>
        <w:tc>
          <w:tcPr>
            <w:tcW w:w="992" w:type="dxa"/>
            <w:tcBorders>
              <w:top w:val="nil"/>
              <w:left w:val="nil"/>
              <w:bottom w:val="single" w:sz="4" w:space="0" w:color="auto"/>
              <w:right w:val="single" w:sz="4" w:space="0" w:color="auto"/>
            </w:tcBorders>
            <w:shd w:val="clear" w:color="auto" w:fill="auto"/>
            <w:noWrap/>
            <w:vAlign w:val="center"/>
            <w:hideMark/>
          </w:tcPr>
          <w:p w14:paraId="698FC722" w14:textId="77777777" w:rsidR="003837CF" w:rsidRPr="003837CF" w:rsidRDefault="003837CF" w:rsidP="003837CF">
            <w:pPr>
              <w:spacing w:after="0" w:line="240" w:lineRule="auto"/>
              <w:jc w:val="center"/>
              <w:rPr>
                <w:rFonts w:ascii="Calibri" w:eastAsia="Times New Roman" w:hAnsi="Calibri" w:cs="Calibri"/>
                <w:b/>
                <w:bCs/>
                <w:color w:val="548235"/>
                <w:kern w:val="0"/>
                <w:sz w:val="28"/>
                <w:szCs w:val="28"/>
                <w:lang w:eastAsia="de-AT"/>
                <w14:ligatures w14:val="none"/>
              </w:rPr>
            </w:pPr>
            <w:r w:rsidRPr="003837CF">
              <w:rPr>
                <w:rFonts w:ascii="Calibri" w:eastAsia="Times New Roman" w:hAnsi="Calibri" w:cs="Calibri"/>
                <w:b/>
                <w:bCs/>
                <w:color w:val="548235"/>
                <w:kern w:val="0"/>
                <w:sz w:val="28"/>
                <w:szCs w:val="28"/>
                <w:lang w:eastAsia="de-AT"/>
                <w14:ligatures w14:val="none"/>
              </w:rPr>
              <w:t>-</w:t>
            </w:r>
          </w:p>
        </w:tc>
        <w:tc>
          <w:tcPr>
            <w:tcW w:w="993" w:type="dxa"/>
            <w:tcBorders>
              <w:top w:val="nil"/>
              <w:left w:val="nil"/>
              <w:bottom w:val="single" w:sz="4" w:space="0" w:color="auto"/>
              <w:right w:val="single" w:sz="4" w:space="0" w:color="auto"/>
            </w:tcBorders>
            <w:shd w:val="clear" w:color="auto" w:fill="auto"/>
            <w:noWrap/>
            <w:vAlign w:val="center"/>
            <w:hideMark/>
          </w:tcPr>
          <w:p w14:paraId="4BD74B34" w14:textId="77777777" w:rsidR="003837CF" w:rsidRPr="003837CF" w:rsidRDefault="003837CF" w:rsidP="003837CF">
            <w:pPr>
              <w:spacing w:after="0" w:line="240" w:lineRule="auto"/>
              <w:jc w:val="center"/>
              <w:rPr>
                <w:rFonts w:ascii="Calibri" w:eastAsia="Times New Roman" w:hAnsi="Calibri" w:cs="Calibri"/>
                <w:color w:val="E048B5"/>
                <w:kern w:val="0"/>
                <w:sz w:val="28"/>
                <w:szCs w:val="28"/>
                <w:lang w:eastAsia="de-AT"/>
                <w14:ligatures w14:val="none"/>
              </w:rPr>
            </w:pPr>
            <w:r w:rsidRPr="003837CF">
              <w:rPr>
                <w:rFonts w:ascii="Calibri" w:eastAsia="Times New Roman" w:hAnsi="Calibri" w:cs="Calibri"/>
                <w:color w:val="E048B5"/>
                <w:kern w:val="0"/>
                <w:sz w:val="28"/>
                <w:szCs w:val="28"/>
                <w:lang w:eastAsia="de-AT"/>
                <w14:ligatures w14:val="none"/>
              </w:rPr>
              <w:t>-</w:t>
            </w:r>
          </w:p>
        </w:tc>
      </w:tr>
      <w:tr w:rsidR="003837CF" w:rsidRPr="003837CF" w14:paraId="1271CA5A" w14:textId="77777777" w:rsidTr="003837CF">
        <w:trPr>
          <w:trHeight w:val="1140"/>
        </w:trPr>
        <w:tc>
          <w:tcPr>
            <w:tcW w:w="3042" w:type="dxa"/>
            <w:tcBorders>
              <w:top w:val="nil"/>
              <w:left w:val="single" w:sz="4" w:space="0" w:color="auto"/>
              <w:bottom w:val="single" w:sz="4" w:space="0" w:color="auto"/>
              <w:right w:val="single" w:sz="4" w:space="0" w:color="auto"/>
            </w:tcBorders>
            <w:shd w:val="clear" w:color="auto" w:fill="auto"/>
            <w:vAlign w:val="bottom"/>
            <w:hideMark/>
          </w:tcPr>
          <w:p w14:paraId="73FF1EE6" w14:textId="77777777" w:rsidR="003837CF" w:rsidRPr="003837CF" w:rsidRDefault="003837CF" w:rsidP="003837CF">
            <w:pPr>
              <w:spacing w:after="0" w:line="240" w:lineRule="auto"/>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 xml:space="preserve">Antrag d. </w:t>
            </w:r>
            <w:proofErr w:type="spellStart"/>
            <w:r w:rsidRPr="003837CF">
              <w:rPr>
                <w:rFonts w:ascii="Calibri" w:eastAsia="Times New Roman" w:hAnsi="Calibri" w:cs="Calibri"/>
                <w:color w:val="000000"/>
                <w:kern w:val="0"/>
                <w:lang w:eastAsia="de-AT"/>
                <w14:ligatures w14:val="none"/>
              </w:rPr>
              <w:t>Abg</w:t>
            </w:r>
            <w:proofErr w:type="spellEnd"/>
            <w:r w:rsidRPr="003837CF">
              <w:rPr>
                <w:rFonts w:ascii="Calibri" w:eastAsia="Times New Roman" w:hAnsi="Calibri" w:cs="Calibri"/>
                <w:color w:val="000000"/>
                <w:kern w:val="0"/>
                <w:lang w:eastAsia="de-AT"/>
                <w14:ligatures w14:val="none"/>
              </w:rPr>
              <w:t>. Samwald, u. a. betr. Kostenübernahme vom Land Niederösterreich für Energieausweise für "Häuslbauer"</w:t>
            </w:r>
          </w:p>
        </w:tc>
        <w:tc>
          <w:tcPr>
            <w:tcW w:w="563" w:type="dxa"/>
            <w:tcBorders>
              <w:top w:val="nil"/>
              <w:left w:val="nil"/>
              <w:bottom w:val="single" w:sz="4" w:space="0" w:color="auto"/>
              <w:right w:val="single" w:sz="4" w:space="0" w:color="auto"/>
            </w:tcBorders>
            <w:shd w:val="clear" w:color="000000" w:fill="A9D08E"/>
            <w:noWrap/>
            <w:vAlign w:val="bottom"/>
            <w:hideMark/>
          </w:tcPr>
          <w:p w14:paraId="1D514B7A"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176</w:t>
            </w:r>
          </w:p>
        </w:tc>
        <w:tc>
          <w:tcPr>
            <w:tcW w:w="1417" w:type="dxa"/>
            <w:tcBorders>
              <w:top w:val="nil"/>
              <w:left w:val="nil"/>
              <w:bottom w:val="single" w:sz="4" w:space="0" w:color="auto"/>
              <w:right w:val="single" w:sz="4" w:space="0" w:color="auto"/>
            </w:tcBorders>
            <w:shd w:val="clear" w:color="auto" w:fill="auto"/>
            <w:noWrap/>
            <w:vAlign w:val="bottom"/>
            <w:hideMark/>
          </w:tcPr>
          <w:p w14:paraId="52C94CC7"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21.09.2023</w:t>
            </w:r>
          </w:p>
        </w:tc>
        <w:tc>
          <w:tcPr>
            <w:tcW w:w="1134" w:type="dxa"/>
            <w:tcBorders>
              <w:top w:val="nil"/>
              <w:left w:val="nil"/>
              <w:bottom w:val="single" w:sz="4" w:space="0" w:color="auto"/>
              <w:right w:val="single" w:sz="4" w:space="0" w:color="auto"/>
            </w:tcBorders>
            <w:shd w:val="clear" w:color="auto" w:fill="auto"/>
            <w:noWrap/>
            <w:vAlign w:val="bottom"/>
            <w:hideMark/>
          </w:tcPr>
          <w:p w14:paraId="0F9356BF" w14:textId="77777777" w:rsidR="003837CF" w:rsidRPr="003837CF" w:rsidRDefault="003837CF" w:rsidP="003837CF">
            <w:pPr>
              <w:spacing w:after="0" w:line="240" w:lineRule="auto"/>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Bau</w:t>
            </w:r>
          </w:p>
        </w:tc>
        <w:tc>
          <w:tcPr>
            <w:tcW w:w="1192" w:type="dxa"/>
            <w:tcBorders>
              <w:top w:val="nil"/>
              <w:left w:val="nil"/>
              <w:bottom w:val="single" w:sz="4" w:space="0" w:color="000000"/>
              <w:right w:val="single" w:sz="4" w:space="0" w:color="000000"/>
            </w:tcBorders>
            <w:shd w:val="clear" w:color="auto" w:fill="auto"/>
            <w:vAlign w:val="bottom"/>
            <w:hideMark/>
          </w:tcPr>
          <w:p w14:paraId="227398CF" w14:textId="77777777" w:rsidR="003837CF" w:rsidRPr="003837CF" w:rsidRDefault="00FE6916" w:rsidP="003837CF">
            <w:pPr>
              <w:spacing w:after="0" w:line="240" w:lineRule="auto"/>
              <w:rPr>
                <w:rFonts w:ascii="Calibri" w:eastAsia="Times New Roman" w:hAnsi="Calibri" w:cs="Calibri"/>
                <w:color w:val="0563C1"/>
                <w:kern w:val="0"/>
                <w:u w:val="single"/>
                <w:lang w:eastAsia="de-AT"/>
                <w14:ligatures w14:val="none"/>
              </w:rPr>
            </w:pPr>
            <w:hyperlink r:id="rId11" w:history="1">
              <w:r w:rsidR="003837CF" w:rsidRPr="003837CF">
                <w:rPr>
                  <w:rFonts w:ascii="Calibri" w:eastAsia="Times New Roman" w:hAnsi="Calibri" w:cs="Calibri"/>
                  <w:color w:val="0563C1"/>
                  <w:kern w:val="0"/>
                  <w:u w:val="single"/>
                  <w:lang w:eastAsia="de-AT"/>
                  <w14:ligatures w14:val="none"/>
                </w:rPr>
                <w:t>Ltg.-176/A-3/12-2023</w:t>
              </w:r>
            </w:hyperlink>
          </w:p>
        </w:tc>
        <w:tc>
          <w:tcPr>
            <w:tcW w:w="1144" w:type="dxa"/>
            <w:tcBorders>
              <w:top w:val="nil"/>
              <w:left w:val="nil"/>
              <w:bottom w:val="single" w:sz="4" w:space="0" w:color="auto"/>
              <w:right w:val="single" w:sz="4" w:space="0" w:color="auto"/>
            </w:tcBorders>
            <w:shd w:val="clear" w:color="auto" w:fill="auto"/>
            <w:noWrap/>
            <w:vAlign w:val="center"/>
            <w:hideMark/>
          </w:tcPr>
          <w:p w14:paraId="438F4BCE"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19.10.2023</w:t>
            </w:r>
          </w:p>
        </w:tc>
        <w:tc>
          <w:tcPr>
            <w:tcW w:w="1284" w:type="dxa"/>
            <w:tcBorders>
              <w:top w:val="nil"/>
              <w:left w:val="nil"/>
              <w:bottom w:val="single" w:sz="4" w:space="0" w:color="auto"/>
              <w:right w:val="single" w:sz="4" w:space="0" w:color="auto"/>
            </w:tcBorders>
            <w:shd w:val="clear" w:color="auto" w:fill="auto"/>
            <w:noWrap/>
            <w:vAlign w:val="center"/>
            <w:hideMark/>
          </w:tcPr>
          <w:p w14:paraId="6B5BED68" w14:textId="77777777" w:rsidR="003837CF" w:rsidRPr="003837CF" w:rsidRDefault="003837CF" w:rsidP="003837CF">
            <w:pPr>
              <w:spacing w:after="0" w:line="240" w:lineRule="auto"/>
              <w:jc w:val="right"/>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25.10.2023</w:t>
            </w:r>
          </w:p>
        </w:tc>
        <w:tc>
          <w:tcPr>
            <w:tcW w:w="992" w:type="dxa"/>
            <w:tcBorders>
              <w:top w:val="nil"/>
              <w:left w:val="nil"/>
              <w:bottom w:val="single" w:sz="4" w:space="0" w:color="auto"/>
              <w:right w:val="single" w:sz="4" w:space="0" w:color="auto"/>
            </w:tcBorders>
            <w:shd w:val="clear" w:color="auto" w:fill="auto"/>
            <w:noWrap/>
            <w:vAlign w:val="center"/>
            <w:hideMark/>
          </w:tcPr>
          <w:p w14:paraId="40AFAB3D" w14:textId="77777777" w:rsidR="003837CF" w:rsidRPr="003837CF" w:rsidRDefault="003837CF" w:rsidP="003837CF">
            <w:pPr>
              <w:spacing w:after="0" w:line="240" w:lineRule="auto"/>
              <w:jc w:val="center"/>
              <w:rPr>
                <w:rFonts w:ascii="Calibri" w:eastAsia="Times New Roman" w:hAnsi="Calibri" w:cs="Calibri"/>
                <w:b/>
                <w:bCs/>
                <w:color w:val="000000"/>
                <w:kern w:val="0"/>
                <w:sz w:val="28"/>
                <w:szCs w:val="28"/>
                <w:lang w:eastAsia="de-AT"/>
                <w14:ligatures w14:val="none"/>
              </w:rPr>
            </w:pPr>
            <w:r w:rsidRPr="003837CF">
              <w:rPr>
                <w:rFonts w:ascii="Calibri" w:eastAsia="Times New Roman" w:hAnsi="Calibri" w:cs="Calibri"/>
                <w:b/>
                <w:bCs/>
                <w:color w:val="000000"/>
                <w:kern w:val="0"/>
                <w:sz w:val="28"/>
                <w:szCs w:val="28"/>
                <w:lang w:eastAsia="de-AT"/>
                <w14:ligatures w14:val="none"/>
              </w:rPr>
              <w:t>-</w:t>
            </w:r>
          </w:p>
        </w:tc>
        <w:tc>
          <w:tcPr>
            <w:tcW w:w="993" w:type="dxa"/>
            <w:tcBorders>
              <w:top w:val="nil"/>
              <w:left w:val="nil"/>
              <w:bottom w:val="single" w:sz="4" w:space="0" w:color="auto"/>
              <w:right w:val="single" w:sz="4" w:space="0" w:color="auto"/>
            </w:tcBorders>
            <w:shd w:val="clear" w:color="auto" w:fill="auto"/>
            <w:noWrap/>
            <w:vAlign w:val="center"/>
            <w:hideMark/>
          </w:tcPr>
          <w:p w14:paraId="2E4911C3" w14:textId="77777777" w:rsidR="003837CF" w:rsidRPr="003837CF" w:rsidRDefault="003837CF" w:rsidP="003837CF">
            <w:pPr>
              <w:spacing w:after="0" w:line="240" w:lineRule="auto"/>
              <w:jc w:val="center"/>
              <w:rPr>
                <w:rFonts w:ascii="Calibri" w:eastAsia="Times New Roman" w:hAnsi="Calibri" w:cs="Calibri"/>
                <w:b/>
                <w:bCs/>
                <w:color w:val="305496"/>
                <w:kern w:val="0"/>
                <w:sz w:val="28"/>
                <w:szCs w:val="28"/>
                <w:lang w:eastAsia="de-AT"/>
                <w14:ligatures w14:val="none"/>
              </w:rPr>
            </w:pPr>
            <w:r w:rsidRPr="003837CF">
              <w:rPr>
                <w:rFonts w:ascii="Calibri" w:eastAsia="Times New Roman" w:hAnsi="Calibri" w:cs="Calibri"/>
                <w:b/>
                <w:bCs/>
                <w:color w:val="305496"/>
                <w:kern w:val="0"/>
                <w:sz w:val="28"/>
                <w:szCs w:val="28"/>
                <w:lang w:eastAsia="de-AT"/>
                <w14:ligatures w14:val="none"/>
              </w:rPr>
              <w:t>-</w:t>
            </w:r>
          </w:p>
        </w:tc>
        <w:tc>
          <w:tcPr>
            <w:tcW w:w="850" w:type="dxa"/>
            <w:tcBorders>
              <w:top w:val="nil"/>
              <w:left w:val="nil"/>
              <w:bottom w:val="single" w:sz="4" w:space="0" w:color="auto"/>
              <w:right w:val="single" w:sz="4" w:space="0" w:color="auto"/>
            </w:tcBorders>
            <w:shd w:val="clear" w:color="auto" w:fill="auto"/>
            <w:noWrap/>
            <w:vAlign w:val="center"/>
            <w:hideMark/>
          </w:tcPr>
          <w:p w14:paraId="443B2E12" w14:textId="77777777" w:rsidR="003837CF" w:rsidRPr="003837CF" w:rsidRDefault="003837CF" w:rsidP="003837CF">
            <w:pPr>
              <w:spacing w:after="0" w:line="240" w:lineRule="auto"/>
              <w:jc w:val="center"/>
              <w:rPr>
                <w:rFonts w:ascii="Calibri" w:eastAsia="Times New Roman" w:hAnsi="Calibri" w:cs="Calibri"/>
                <w:b/>
                <w:bCs/>
                <w:color w:val="C00000"/>
                <w:kern w:val="0"/>
                <w:sz w:val="28"/>
                <w:szCs w:val="28"/>
                <w:lang w:eastAsia="de-AT"/>
                <w14:ligatures w14:val="none"/>
              </w:rPr>
            </w:pPr>
            <w:r w:rsidRPr="003837CF">
              <w:rPr>
                <w:rFonts w:ascii="Calibri" w:eastAsia="Times New Roman" w:hAnsi="Calibri" w:cs="Calibri"/>
                <w:b/>
                <w:bCs/>
                <w:color w:val="C00000"/>
                <w:kern w:val="0"/>
                <w:sz w:val="28"/>
                <w:szCs w:val="28"/>
                <w:lang w:eastAsia="de-AT"/>
                <w14:ligatures w14:val="none"/>
              </w:rPr>
              <w:t>+</w:t>
            </w:r>
          </w:p>
        </w:tc>
        <w:tc>
          <w:tcPr>
            <w:tcW w:w="992" w:type="dxa"/>
            <w:tcBorders>
              <w:top w:val="nil"/>
              <w:left w:val="nil"/>
              <w:bottom w:val="single" w:sz="4" w:space="0" w:color="auto"/>
              <w:right w:val="single" w:sz="4" w:space="0" w:color="auto"/>
            </w:tcBorders>
            <w:shd w:val="clear" w:color="auto" w:fill="auto"/>
            <w:noWrap/>
            <w:vAlign w:val="center"/>
            <w:hideMark/>
          </w:tcPr>
          <w:p w14:paraId="2D634647" w14:textId="77777777" w:rsidR="003837CF" w:rsidRPr="003837CF" w:rsidRDefault="003837CF" w:rsidP="003837CF">
            <w:pPr>
              <w:spacing w:after="0" w:line="240" w:lineRule="auto"/>
              <w:jc w:val="center"/>
              <w:rPr>
                <w:rFonts w:ascii="Calibri" w:eastAsia="Times New Roman" w:hAnsi="Calibri" w:cs="Calibri"/>
                <w:b/>
                <w:bCs/>
                <w:color w:val="548235"/>
                <w:kern w:val="0"/>
                <w:sz w:val="28"/>
                <w:szCs w:val="28"/>
                <w:lang w:eastAsia="de-AT"/>
                <w14:ligatures w14:val="none"/>
              </w:rPr>
            </w:pPr>
            <w:r w:rsidRPr="003837CF">
              <w:rPr>
                <w:rFonts w:ascii="Calibri" w:eastAsia="Times New Roman" w:hAnsi="Calibri" w:cs="Calibri"/>
                <w:b/>
                <w:bCs/>
                <w:color w:val="548235"/>
                <w:kern w:val="0"/>
                <w:sz w:val="28"/>
                <w:szCs w:val="28"/>
                <w:lang w:eastAsia="de-AT"/>
                <w14:ligatures w14:val="none"/>
              </w:rPr>
              <w:t>+</w:t>
            </w:r>
          </w:p>
        </w:tc>
        <w:tc>
          <w:tcPr>
            <w:tcW w:w="993" w:type="dxa"/>
            <w:tcBorders>
              <w:top w:val="nil"/>
              <w:left w:val="nil"/>
              <w:bottom w:val="single" w:sz="4" w:space="0" w:color="auto"/>
              <w:right w:val="single" w:sz="4" w:space="0" w:color="auto"/>
            </w:tcBorders>
            <w:shd w:val="clear" w:color="auto" w:fill="auto"/>
            <w:noWrap/>
            <w:vAlign w:val="center"/>
            <w:hideMark/>
          </w:tcPr>
          <w:p w14:paraId="548BCE2F" w14:textId="77777777" w:rsidR="003837CF" w:rsidRPr="003837CF" w:rsidRDefault="003837CF" w:rsidP="003837CF">
            <w:pPr>
              <w:spacing w:after="0" w:line="240" w:lineRule="auto"/>
              <w:jc w:val="center"/>
              <w:rPr>
                <w:rFonts w:ascii="Calibri" w:eastAsia="Times New Roman" w:hAnsi="Calibri" w:cs="Calibri"/>
                <w:color w:val="E048B5"/>
                <w:kern w:val="0"/>
                <w:sz w:val="28"/>
                <w:szCs w:val="28"/>
                <w:lang w:eastAsia="de-AT"/>
                <w14:ligatures w14:val="none"/>
              </w:rPr>
            </w:pPr>
            <w:r w:rsidRPr="003837CF">
              <w:rPr>
                <w:rFonts w:ascii="Calibri" w:eastAsia="Times New Roman" w:hAnsi="Calibri" w:cs="Calibri"/>
                <w:color w:val="E048B5"/>
                <w:kern w:val="0"/>
                <w:sz w:val="28"/>
                <w:szCs w:val="28"/>
                <w:lang w:eastAsia="de-AT"/>
                <w14:ligatures w14:val="none"/>
              </w:rPr>
              <w:t>-</w:t>
            </w:r>
          </w:p>
        </w:tc>
      </w:tr>
      <w:tr w:rsidR="003837CF" w:rsidRPr="003837CF" w14:paraId="31363729" w14:textId="77777777" w:rsidTr="003837CF">
        <w:trPr>
          <w:trHeight w:val="855"/>
        </w:trPr>
        <w:tc>
          <w:tcPr>
            <w:tcW w:w="3042" w:type="dxa"/>
            <w:tcBorders>
              <w:top w:val="nil"/>
              <w:left w:val="single" w:sz="4" w:space="0" w:color="auto"/>
              <w:bottom w:val="single" w:sz="4" w:space="0" w:color="auto"/>
              <w:right w:val="single" w:sz="4" w:space="0" w:color="auto"/>
            </w:tcBorders>
            <w:shd w:val="clear" w:color="auto" w:fill="auto"/>
            <w:vAlign w:val="bottom"/>
            <w:hideMark/>
          </w:tcPr>
          <w:p w14:paraId="326C9A0A" w14:textId="77777777" w:rsidR="003837CF" w:rsidRPr="003837CF" w:rsidRDefault="003837CF" w:rsidP="003837CF">
            <w:pPr>
              <w:spacing w:after="0" w:line="240" w:lineRule="auto"/>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 xml:space="preserve">Antrag d. </w:t>
            </w:r>
            <w:proofErr w:type="spellStart"/>
            <w:r w:rsidRPr="003837CF">
              <w:rPr>
                <w:rFonts w:ascii="Calibri" w:eastAsia="Times New Roman" w:hAnsi="Calibri" w:cs="Calibri"/>
                <w:color w:val="000000"/>
                <w:kern w:val="0"/>
                <w:lang w:eastAsia="de-AT"/>
                <w14:ligatures w14:val="none"/>
              </w:rPr>
              <w:t>Abg</w:t>
            </w:r>
            <w:proofErr w:type="spellEnd"/>
            <w:r w:rsidRPr="003837CF">
              <w:rPr>
                <w:rFonts w:ascii="Calibri" w:eastAsia="Times New Roman" w:hAnsi="Calibri" w:cs="Calibri"/>
                <w:color w:val="000000"/>
                <w:kern w:val="0"/>
                <w:lang w:eastAsia="de-AT"/>
                <w14:ligatures w14:val="none"/>
              </w:rPr>
              <w:t>. Samwald, u. a. betr. Raus aus dem Öl – (höhere) Förderung für den Umstieg auf klimaschonende Heizsysteme auch für 2024</w:t>
            </w:r>
          </w:p>
        </w:tc>
        <w:tc>
          <w:tcPr>
            <w:tcW w:w="563" w:type="dxa"/>
            <w:tcBorders>
              <w:top w:val="nil"/>
              <w:left w:val="nil"/>
              <w:bottom w:val="single" w:sz="4" w:space="0" w:color="auto"/>
              <w:right w:val="single" w:sz="4" w:space="0" w:color="auto"/>
            </w:tcBorders>
            <w:shd w:val="clear" w:color="000000" w:fill="A9D08E"/>
            <w:noWrap/>
            <w:vAlign w:val="bottom"/>
            <w:hideMark/>
          </w:tcPr>
          <w:p w14:paraId="0B5E4615"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177</w:t>
            </w:r>
          </w:p>
        </w:tc>
        <w:tc>
          <w:tcPr>
            <w:tcW w:w="1417" w:type="dxa"/>
            <w:tcBorders>
              <w:top w:val="nil"/>
              <w:left w:val="nil"/>
              <w:bottom w:val="single" w:sz="4" w:space="0" w:color="auto"/>
              <w:right w:val="single" w:sz="4" w:space="0" w:color="auto"/>
            </w:tcBorders>
            <w:shd w:val="clear" w:color="auto" w:fill="auto"/>
            <w:noWrap/>
            <w:vAlign w:val="bottom"/>
            <w:hideMark/>
          </w:tcPr>
          <w:p w14:paraId="3AB33BF1"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21.09.2023</w:t>
            </w:r>
          </w:p>
        </w:tc>
        <w:tc>
          <w:tcPr>
            <w:tcW w:w="1134" w:type="dxa"/>
            <w:tcBorders>
              <w:top w:val="nil"/>
              <w:left w:val="nil"/>
              <w:bottom w:val="single" w:sz="4" w:space="0" w:color="auto"/>
              <w:right w:val="single" w:sz="4" w:space="0" w:color="auto"/>
            </w:tcBorders>
            <w:shd w:val="clear" w:color="auto" w:fill="auto"/>
            <w:noWrap/>
            <w:vAlign w:val="bottom"/>
            <w:hideMark/>
          </w:tcPr>
          <w:p w14:paraId="090F5BC1" w14:textId="77777777" w:rsidR="003837CF" w:rsidRPr="003837CF" w:rsidRDefault="003837CF" w:rsidP="003837CF">
            <w:pPr>
              <w:spacing w:after="0" w:line="240" w:lineRule="auto"/>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Bau</w:t>
            </w:r>
          </w:p>
        </w:tc>
        <w:tc>
          <w:tcPr>
            <w:tcW w:w="1192" w:type="dxa"/>
            <w:tcBorders>
              <w:top w:val="nil"/>
              <w:left w:val="nil"/>
              <w:bottom w:val="single" w:sz="4" w:space="0" w:color="000000"/>
              <w:right w:val="single" w:sz="4" w:space="0" w:color="000000"/>
            </w:tcBorders>
            <w:shd w:val="clear" w:color="auto" w:fill="auto"/>
            <w:vAlign w:val="bottom"/>
            <w:hideMark/>
          </w:tcPr>
          <w:p w14:paraId="2D3FAE5E" w14:textId="77777777" w:rsidR="003837CF" w:rsidRPr="003837CF" w:rsidRDefault="00FE6916" w:rsidP="003837CF">
            <w:pPr>
              <w:spacing w:after="0" w:line="240" w:lineRule="auto"/>
              <w:rPr>
                <w:rFonts w:ascii="Calibri" w:eastAsia="Times New Roman" w:hAnsi="Calibri" w:cs="Calibri"/>
                <w:color w:val="0563C1"/>
                <w:kern w:val="0"/>
                <w:u w:val="single"/>
                <w:lang w:eastAsia="de-AT"/>
                <w14:ligatures w14:val="none"/>
              </w:rPr>
            </w:pPr>
            <w:hyperlink r:id="rId12" w:history="1">
              <w:r w:rsidR="003837CF" w:rsidRPr="003837CF">
                <w:rPr>
                  <w:rFonts w:ascii="Calibri" w:eastAsia="Times New Roman" w:hAnsi="Calibri" w:cs="Calibri"/>
                  <w:color w:val="0563C1"/>
                  <w:kern w:val="0"/>
                  <w:u w:val="single"/>
                  <w:lang w:eastAsia="de-AT"/>
                  <w14:ligatures w14:val="none"/>
                </w:rPr>
                <w:t>Ltg.-177/A-3/13-2023</w:t>
              </w:r>
            </w:hyperlink>
          </w:p>
        </w:tc>
        <w:tc>
          <w:tcPr>
            <w:tcW w:w="1144" w:type="dxa"/>
            <w:tcBorders>
              <w:top w:val="nil"/>
              <w:left w:val="nil"/>
              <w:bottom w:val="single" w:sz="4" w:space="0" w:color="auto"/>
              <w:right w:val="single" w:sz="4" w:space="0" w:color="auto"/>
            </w:tcBorders>
            <w:shd w:val="clear" w:color="auto" w:fill="auto"/>
            <w:noWrap/>
            <w:vAlign w:val="center"/>
            <w:hideMark/>
          </w:tcPr>
          <w:p w14:paraId="4B8FDEC3"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19.10.2023</w:t>
            </w:r>
          </w:p>
        </w:tc>
        <w:tc>
          <w:tcPr>
            <w:tcW w:w="1284" w:type="dxa"/>
            <w:tcBorders>
              <w:top w:val="nil"/>
              <w:left w:val="nil"/>
              <w:bottom w:val="single" w:sz="4" w:space="0" w:color="auto"/>
              <w:right w:val="single" w:sz="4" w:space="0" w:color="auto"/>
            </w:tcBorders>
            <w:shd w:val="clear" w:color="auto" w:fill="auto"/>
            <w:noWrap/>
            <w:vAlign w:val="center"/>
            <w:hideMark/>
          </w:tcPr>
          <w:p w14:paraId="6961AC17" w14:textId="77777777" w:rsidR="003837CF" w:rsidRPr="003837CF" w:rsidRDefault="003837CF" w:rsidP="003837CF">
            <w:pPr>
              <w:spacing w:after="0" w:line="240" w:lineRule="auto"/>
              <w:jc w:val="right"/>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25.10.2023</w:t>
            </w:r>
          </w:p>
        </w:tc>
        <w:tc>
          <w:tcPr>
            <w:tcW w:w="992" w:type="dxa"/>
            <w:tcBorders>
              <w:top w:val="nil"/>
              <w:left w:val="nil"/>
              <w:bottom w:val="single" w:sz="4" w:space="0" w:color="auto"/>
              <w:right w:val="single" w:sz="4" w:space="0" w:color="auto"/>
            </w:tcBorders>
            <w:shd w:val="clear" w:color="auto" w:fill="auto"/>
            <w:noWrap/>
            <w:vAlign w:val="center"/>
            <w:hideMark/>
          </w:tcPr>
          <w:p w14:paraId="6313D29C" w14:textId="77777777" w:rsidR="003837CF" w:rsidRPr="003837CF" w:rsidRDefault="003837CF" w:rsidP="003837CF">
            <w:pPr>
              <w:spacing w:after="0" w:line="240" w:lineRule="auto"/>
              <w:jc w:val="center"/>
              <w:rPr>
                <w:rFonts w:ascii="Calibri" w:eastAsia="Times New Roman" w:hAnsi="Calibri" w:cs="Calibri"/>
                <w:b/>
                <w:bCs/>
                <w:color w:val="000000"/>
                <w:kern w:val="0"/>
                <w:sz w:val="28"/>
                <w:szCs w:val="28"/>
                <w:lang w:eastAsia="de-AT"/>
                <w14:ligatures w14:val="none"/>
              </w:rPr>
            </w:pPr>
            <w:r w:rsidRPr="003837CF">
              <w:rPr>
                <w:rFonts w:ascii="Calibri" w:eastAsia="Times New Roman" w:hAnsi="Calibri" w:cs="Calibri"/>
                <w:b/>
                <w:bCs/>
                <w:color w:val="000000"/>
                <w:kern w:val="0"/>
                <w:sz w:val="28"/>
                <w:szCs w:val="28"/>
                <w:lang w:eastAsia="de-AT"/>
                <w14:ligatures w14:val="none"/>
              </w:rPr>
              <w:t>+</w:t>
            </w:r>
          </w:p>
        </w:tc>
        <w:tc>
          <w:tcPr>
            <w:tcW w:w="993" w:type="dxa"/>
            <w:tcBorders>
              <w:top w:val="nil"/>
              <w:left w:val="nil"/>
              <w:bottom w:val="single" w:sz="4" w:space="0" w:color="auto"/>
              <w:right w:val="single" w:sz="4" w:space="0" w:color="auto"/>
            </w:tcBorders>
            <w:shd w:val="clear" w:color="auto" w:fill="auto"/>
            <w:noWrap/>
            <w:vAlign w:val="center"/>
            <w:hideMark/>
          </w:tcPr>
          <w:p w14:paraId="0A8385DD" w14:textId="77777777" w:rsidR="003837CF" w:rsidRPr="003837CF" w:rsidRDefault="003837CF" w:rsidP="003837CF">
            <w:pPr>
              <w:spacing w:after="0" w:line="240" w:lineRule="auto"/>
              <w:jc w:val="center"/>
              <w:rPr>
                <w:rFonts w:ascii="Calibri" w:eastAsia="Times New Roman" w:hAnsi="Calibri" w:cs="Calibri"/>
                <w:b/>
                <w:bCs/>
                <w:color w:val="305496"/>
                <w:kern w:val="0"/>
                <w:sz w:val="28"/>
                <w:szCs w:val="28"/>
                <w:lang w:eastAsia="de-AT"/>
                <w14:ligatures w14:val="none"/>
              </w:rPr>
            </w:pPr>
            <w:r w:rsidRPr="003837CF">
              <w:rPr>
                <w:rFonts w:ascii="Calibri" w:eastAsia="Times New Roman" w:hAnsi="Calibri" w:cs="Calibri"/>
                <w:b/>
                <w:bCs/>
                <w:color w:val="305496"/>
                <w:kern w:val="0"/>
                <w:sz w:val="28"/>
                <w:szCs w:val="28"/>
                <w:lang w:eastAsia="de-AT"/>
                <w14:ligatures w14:val="none"/>
              </w:rPr>
              <w:t>+</w:t>
            </w:r>
          </w:p>
        </w:tc>
        <w:tc>
          <w:tcPr>
            <w:tcW w:w="850" w:type="dxa"/>
            <w:tcBorders>
              <w:top w:val="nil"/>
              <w:left w:val="nil"/>
              <w:bottom w:val="single" w:sz="4" w:space="0" w:color="auto"/>
              <w:right w:val="single" w:sz="4" w:space="0" w:color="auto"/>
            </w:tcBorders>
            <w:shd w:val="clear" w:color="auto" w:fill="auto"/>
            <w:noWrap/>
            <w:vAlign w:val="center"/>
            <w:hideMark/>
          </w:tcPr>
          <w:p w14:paraId="72B324EE" w14:textId="77777777" w:rsidR="003837CF" w:rsidRPr="003837CF" w:rsidRDefault="003837CF" w:rsidP="003837CF">
            <w:pPr>
              <w:spacing w:after="0" w:line="240" w:lineRule="auto"/>
              <w:jc w:val="center"/>
              <w:rPr>
                <w:rFonts w:ascii="Calibri" w:eastAsia="Times New Roman" w:hAnsi="Calibri" w:cs="Calibri"/>
                <w:b/>
                <w:bCs/>
                <w:color w:val="C00000"/>
                <w:kern w:val="0"/>
                <w:sz w:val="28"/>
                <w:szCs w:val="28"/>
                <w:lang w:eastAsia="de-AT"/>
                <w14:ligatures w14:val="none"/>
              </w:rPr>
            </w:pPr>
            <w:r w:rsidRPr="003837CF">
              <w:rPr>
                <w:rFonts w:ascii="Calibri" w:eastAsia="Times New Roman" w:hAnsi="Calibri" w:cs="Calibri"/>
                <w:b/>
                <w:bCs/>
                <w:color w:val="C00000"/>
                <w:kern w:val="0"/>
                <w:sz w:val="28"/>
                <w:szCs w:val="28"/>
                <w:lang w:eastAsia="de-AT"/>
                <w14:ligatures w14:val="none"/>
              </w:rPr>
              <w:t>+</w:t>
            </w:r>
          </w:p>
        </w:tc>
        <w:tc>
          <w:tcPr>
            <w:tcW w:w="992" w:type="dxa"/>
            <w:tcBorders>
              <w:top w:val="nil"/>
              <w:left w:val="nil"/>
              <w:bottom w:val="single" w:sz="4" w:space="0" w:color="auto"/>
              <w:right w:val="single" w:sz="4" w:space="0" w:color="auto"/>
            </w:tcBorders>
            <w:shd w:val="clear" w:color="auto" w:fill="auto"/>
            <w:noWrap/>
            <w:vAlign w:val="center"/>
            <w:hideMark/>
          </w:tcPr>
          <w:p w14:paraId="5D9CC0C2" w14:textId="77777777" w:rsidR="003837CF" w:rsidRPr="003837CF" w:rsidRDefault="003837CF" w:rsidP="003837CF">
            <w:pPr>
              <w:spacing w:after="0" w:line="240" w:lineRule="auto"/>
              <w:jc w:val="center"/>
              <w:rPr>
                <w:rFonts w:ascii="Calibri" w:eastAsia="Times New Roman" w:hAnsi="Calibri" w:cs="Calibri"/>
                <w:b/>
                <w:bCs/>
                <w:color w:val="548235"/>
                <w:kern w:val="0"/>
                <w:sz w:val="28"/>
                <w:szCs w:val="28"/>
                <w:lang w:eastAsia="de-AT"/>
                <w14:ligatures w14:val="none"/>
              </w:rPr>
            </w:pPr>
            <w:r w:rsidRPr="003837CF">
              <w:rPr>
                <w:rFonts w:ascii="Calibri" w:eastAsia="Times New Roman" w:hAnsi="Calibri" w:cs="Calibri"/>
                <w:b/>
                <w:bCs/>
                <w:color w:val="548235"/>
                <w:kern w:val="0"/>
                <w:sz w:val="28"/>
                <w:szCs w:val="28"/>
                <w:lang w:eastAsia="de-AT"/>
                <w14:ligatures w14:val="none"/>
              </w:rPr>
              <w:t>+</w:t>
            </w:r>
          </w:p>
        </w:tc>
        <w:tc>
          <w:tcPr>
            <w:tcW w:w="993" w:type="dxa"/>
            <w:tcBorders>
              <w:top w:val="nil"/>
              <w:left w:val="nil"/>
              <w:bottom w:val="single" w:sz="4" w:space="0" w:color="auto"/>
              <w:right w:val="single" w:sz="4" w:space="0" w:color="auto"/>
            </w:tcBorders>
            <w:shd w:val="clear" w:color="auto" w:fill="auto"/>
            <w:noWrap/>
            <w:vAlign w:val="center"/>
            <w:hideMark/>
          </w:tcPr>
          <w:p w14:paraId="619BCDE2" w14:textId="77777777" w:rsidR="003837CF" w:rsidRPr="003837CF" w:rsidRDefault="003837CF" w:rsidP="003837CF">
            <w:pPr>
              <w:spacing w:after="0" w:line="240" w:lineRule="auto"/>
              <w:jc w:val="center"/>
              <w:rPr>
                <w:rFonts w:ascii="Calibri" w:eastAsia="Times New Roman" w:hAnsi="Calibri" w:cs="Calibri"/>
                <w:color w:val="E048B5"/>
                <w:kern w:val="0"/>
                <w:sz w:val="28"/>
                <w:szCs w:val="28"/>
                <w:lang w:eastAsia="de-AT"/>
                <w14:ligatures w14:val="none"/>
              </w:rPr>
            </w:pPr>
            <w:r w:rsidRPr="003837CF">
              <w:rPr>
                <w:rFonts w:ascii="Calibri" w:eastAsia="Times New Roman" w:hAnsi="Calibri" w:cs="Calibri"/>
                <w:color w:val="E048B5"/>
                <w:kern w:val="0"/>
                <w:sz w:val="28"/>
                <w:szCs w:val="28"/>
                <w:lang w:eastAsia="de-AT"/>
                <w14:ligatures w14:val="none"/>
              </w:rPr>
              <w:t>+</w:t>
            </w:r>
          </w:p>
        </w:tc>
      </w:tr>
      <w:tr w:rsidR="003837CF" w:rsidRPr="003837CF" w14:paraId="60DC37B9" w14:textId="77777777" w:rsidTr="003837CF">
        <w:trPr>
          <w:trHeight w:val="840"/>
        </w:trPr>
        <w:tc>
          <w:tcPr>
            <w:tcW w:w="3042" w:type="dxa"/>
            <w:tcBorders>
              <w:top w:val="nil"/>
              <w:left w:val="single" w:sz="4" w:space="0" w:color="auto"/>
              <w:bottom w:val="single" w:sz="4" w:space="0" w:color="auto"/>
              <w:right w:val="single" w:sz="4" w:space="0" w:color="auto"/>
            </w:tcBorders>
            <w:shd w:val="clear" w:color="auto" w:fill="auto"/>
            <w:vAlign w:val="bottom"/>
            <w:hideMark/>
          </w:tcPr>
          <w:p w14:paraId="07EEF47E" w14:textId="77777777" w:rsidR="003837CF" w:rsidRPr="003837CF" w:rsidRDefault="003837CF" w:rsidP="003837CF">
            <w:pPr>
              <w:spacing w:after="0" w:line="240" w:lineRule="auto"/>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Möglichkeit der Wohnbauförderung auch für Objekte, welche bereits fertiggestellt wurden</w:t>
            </w:r>
          </w:p>
        </w:tc>
        <w:tc>
          <w:tcPr>
            <w:tcW w:w="563" w:type="dxa"/>
            <w:tcBorders>
              <w:top w:val="nil"/>
              <w:left w:val="nil"/>
              <w:bottom w:val="single" w:sz="4" w:space="0" w:color="auto"/>
              <w:right w:val="single" w:sz="4" w:space="0" w:color="auto"/>
            </w:tcBorders>
            <w:shd w:val="clear" w:color="000000" w:fill="A9D08E"/>
            <w:noWrap/>
            <w:vAlign w:val="bottom"/>
            <w:hideMark/>
          </w:tcPr>
          <w:p w14:paraId="75263C05"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178</w:t>
            </w:r>
          </w:p>
        </w:tc>
        <w:tc>
          <w:tcPr>
            <w:tcW w:w="1417" w:type="dxa"/>
            <w:tcBorders>
              <w:top w:val="nil"/>
              <w:left w:val="nil"/>
              <w:bottom w:val="single" w:sz="4" w:space="0" w:color="auto"/>
              <w:right w:val="single" w:sz="4" w:space="0" w:color="auto"/>
            </w:tcBorders>
            <w:shd w:val="clear" w:color="auto" w:fill="auto"/>
            <w:noWrap/>
            <w:vAlign w:val="bottom"/>
            <w:hideMark/>
          </w:tcPr>
          <w:p w14:paraId="56D97923"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21.09.2023</w:t>
            </w:r>
          </w:p>
        </w:tc>
        <w:tc>
          <w:tcPr>
            <w:tcW w:w="1134" w:type="dxa"/>
            <w:tcBorders>
              <w:top w:val="nil"/>
              <w:left w:val="nil"/>
              <w:bottom w:val="single" w:sz="4" w:space="0" w:color="auto"/>
              <w:right w:val="single" w:sz="4" w:space="0" w:color="auto"/>
            </w:tcBorders>
            <w:shd w:val="clear" w:color="auto" w:fill="auto"/>
            <w:noWrap/>
            <w:vAlign w:val="bottom"/>
            <w:hideMark/>
          </w:tcPr>
          <w:p w14:paraId="70090E27" w14:textId="77777777" w:rsidR="003837CF" w:rsidRPr="003837CF" w:rsidRDefault="003837CF" w:rsidP="003837CF">
            <w:pPr>
              <w:spacing w:after="0" w:line="240" w:lineRule="auto"/>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R. u. V.</w:t>
            </w:r>
          </w:p>
        </w:tc>
        <w:tc>
          <w:tcPr>
            <w:tcW w:w="1192" w:type="dxa"/>
            <w:tcBorders>
              <w:top w:val="nil"/>
              <w:left w:val="nil"/>
              <w:bottom w:val="single" w:sz="4" w:space="0" w:color="000000"/>
              <w:right w:val="single" w:sz="4" w:space="0" w:color="000000"/>
            </w:tcBorders>
            <w:shd w:val="clear" w:color="auto" w:fill="auto"/>
            <w:vAlign w:val="bottom"/>
            <w:hideMark/>
          </w:tcPr>
          <w:p w14:paraId="2670D13A" w14:textId="77777777" w:rsidR="003837CF" w:rsidRPr="003837CF" w:rsidRDefault="00FE6916" w:rsidP="003837CF">
            <w:pPr>
              <w:spacing w:after="0" w:line="240" w:lineRule="auto"/>
              <w:rPr>
                <w:rFonts w:ascii="Calibri" w:eastAsia="Times New Roman" w:hAnsi="Calibri" w:cs="Calibri"/>
                <w:color w:val="0563C1"/>
                <w:kern w:val="0"/>
                <w:u w:val="single"/>
                <w:lang w:eastAsia="de-AT"/>
                <w14:ligatures w14:val="none"/>
              </w:rPr>
            </w:pPr>
            <w:hyperlink r:id="rId13" w:history="1">
              <w:r w:rsidR="003837CF" w:rsidRPr="003837CF">
                <w:rPr>
                  <w:rFonts w:ascii="Calibri" w:eastAsia="Times New Roman" w:hAnsi="Calibri" w:cs="Calibri"/>
                  <w:color w:val="0563C1"/>
                  <w:kern w:val="0"/>
                  <w:u w:val="single"/>
                  <w:lang w:eastAsia="de-AT"/>
                  <w14:ligatures w14:val="none"/>
                </w:rPr>
                <w:t>Ltg.-178/A-3/14-2023</w:t>
              </w:r>
            </w:hyperlink>
          </w:p>
        </w:tc>
        <w:tc>
          <w:tcPr>
            <w:tcW w:w="1144" w:type="dxa"/>
            <w:tcBorders>
              <w:top w:val="nil"/>
              <w:left w:val="nil"/>
              <w:bottom w:val="single" w:sz="4" w:space="0" w:color="auto"/>
              <w:right w:val="single" w:sz="4" w:space="0" w:color="auto"/>
            </w:tcBorders>
            <w:shd w:val="clear" w:color="auto" w:fill="auto"/>
            <w:noWrap/>
            <w:vAlign w:val="center"/>
            <w:hideMark/>
          </w:tcPr>
          <w:p w14:paraId="0763B0BE"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19.10.2023</w:t>
            </w:r>
          </w:p>
        </w:tc>
        <w:tc>
          <w:tcPr>
            <w:tcW w:w="1284" w:type="dxa"/>
            <w:tcBorders>
              <w:top w:val="nil"/>
              <w:left w:val="nil"/>
              <w:bottom w:val="single" w:sz="4" w:space="0" w:color="auto"/>
              <w:right w:val="single" w:sz="4" w:space="0" w:color="auto"/>
            </w:tcBorders>
            <w:shd w:val="clear" w:color="auto" w:fill="auto"/>
            <w:noWrap/>
            <w:vAlign w:val="center"/>
            <w:hideMark/>
          </w:tcPr>
          <w:p w14:paraId="1680105D" w14:textId="77777777" w:rsidR="003837CF" w:rsidRPr="003837CF" w:rsidRDefault="003837CF" w:rsidP="003837CF">
            <w:pPr>
              <w:spacing w:after="0" w:line="240" w:lineRule="auto"/>
              <w:jc w:val="right"/>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25.10.2023</w:t>
            </w:r>
          </w:p>
        </w:tc>
        <w:tc>
          <w:tcPr>
            <w:tcW w:w="992" w:type="dxa"/>
            <w:tcBorders>
              <w:top w:val="nil"/>
              <w:left w:val="nil"/>
              <w:bottom w:val="single" w:sz="4" w:space="0" w:color="auto"/>
              <w:right w:val="single" w:sz="4" w:space="0" w:color="auto"/>
            </w:tcBorders>
            <w:shd w:val="clear" w:color="auto" w:fill="auto"/>
            <w:noWrap/>
            <w:vAlign w:val="center"/>
            <w:hideMark/>
          </w:tcPr>
          <w:p w14:paraId="4A00811F" w14:textId="77777777" w:rsidR="003837CF" w:rsidRPr="003837CF" w:rsidRDefault="003837CF" w:rsidP="003837CF">
            <w:pPr>
              <w:spacing w:after="0" w:line="240" w:lineRule="auto"/>
              <w:jc w:val="center"/>
              <w:rPr>
                <w:rFonts w:ascii="Calibri" w:eastAsia="Times New Roman" w:hAnsi="Calibri" w:cs="Calibri"/>
                <w:b/>
                <w:bCs/>
                <w:color w:val="000000"/>
                <w:kern w:val="0"/>
                <w:sz w:val="28"/>
                <w:szCs w:val="28"/>
                <w:lang w:eastAsia="de-AT"/>
                <w14:ligatures w14:val="none"/>
              </w:rPr>
            </w:pPr>
            <w:r w:rsidRPr="003837CF">
              <w:rPr>
                <w:rFonts w:ascii="Calibri" w:eastAsia="Times New Roman" w:hAnsi="Calibri" w:cs="Calibri"/>
                <w:b/>
                <w:bCs/>
                <w:color w:val="000000"/>
                <w:kern w:val="0"/>
                <w:sz w:val="28"/>
                <w:szCs w:val="28"/>
                <w:lang w:eastAsia="de-AT"/>
                <w14:ligatures w14:val="none"/>
              </w:rPr>
              <w:t>-</w:t>
            </w:r>
          </w:p>
        </w:tc>
        <w:tc>
          <w:tcPr>
            <w:tcW w:w="993" w:type="dxa"/>
            <w:tcBorders>
              <w:top w:val="nil"/>
              <w:left w:val="nil"/>
              <w:bottom w:val="single" w:sz="4" w:space="0" w:color="auto"/>
              <w:right w:val="single" w:sz="4" w:space="0" w:color="auto"/>
            </w:tcBorders>
            <w:shd w:val="clear" w:color="auto" w:fill="auto"/>
            <w:noWrap/>
            <w:vAlign w:val="center"/>
            <w:hideMark/>
          </w:tcPr>
          <w:p w14:paraId="10666B17" w14:textId="77777777" w:rsidR="003837CF" w:rsidRPr="003837CF" w:rsidRDefault="003837CF" w:rsidP="003837CF">
            <w:pPr>
              <w:spacing w:after="0" w:line="240" w:lineRule="auto"/>
              <w:jc w:val="center"/>
              <w:rPr>
                <w:rFonts w:ascii="Calibri" w:eastAsia="Times New Roman" w:hAnsi="Calibri" w:cs="Calibri"/>
                <w:b/>
                <w:bCs/>
                <w:color w:val="305496"/>
                <w:kern w:val="0"/>
                <w:sz w:val="28"/>
                <w:szCs w:val="28"/>
                <w:lang w:eastAsia="de-AT"/>
                <w14:ligatures w14:val="none"/>
              </w:rPr>
            </w:pPr>
            <w:r w:rsidRPr="003837CF">
              <w:rPr>
                <w:rFonts w:ascii="Calibri" w:eastAsia="Times New Roman" w:hAnsi="Calibri" w:cs="Calibri"/>
                <w:b/>
                <w:bCs/>
                <w:color w:val="305496"/>
                <w:kern w:val="0"/>
                <w:sz w:val="28"/>
                <w:szCs w:val="28"/>
                <w:lang w:eastAsia="de-AT"/>
                <w14:ligatures w14:val="none"/>
              </w:rPr>
              <w:t>-</w:t>
            </w:r>
          </w:p>
        </w:tc>
        <w:tc>
          <w:tcPr>
            <w:tcW w:w="850" w:type="dxa"/>
            <w:tcBorders>
              <w:top w:val="nil"/>
              <w:left w:val="nil"/>
              <w:bottom w:val="single" w:sz="4" w:space="0" w:color="auto"/>
              <w:right w:val="single" w:sz="4" w:space="0" w:color="auto"/>
            </w:tcBorders>
            <w:shd w:val="clear" w:color="auto" w:fill="auto"/>
            <w:noWrap/>
            <w:vAlign w:val="center"/>
            <w:hideMark/>
          </w:tcPr>
          <w:p w14:paraId="44270941" w14:textId="77777777" w:rsidR="003837CF" w:rsidRPr="003837CF" w:rsidRDefault="003837CF" w:rsidP="003837CF">
            <w:pPr>
              <w:spacing w:after="0" w:line="240" w:lineRule="auto"/>
              <w:jc w:val="center"/>
              <w:rPr>
                <w:rFonts w:ascii="Calibri" w:eastAsia="Times New Roman" w:hAnsi="Calibri" w:cs="Calibri"/>
                <w:b/>
                <w:bCs/>
                <w:color w:val="C00000"/>
                <w:kern w:val="0"/>
                <w:sz w:val="28"/>
                <w:szCs w:val="28"/>
                <w:lang w:eastAsia="de-AT"/>
                <w14:ligatures w14:val="none"/>
              </w:rPr>
            </w:pPr>
            <w:r w:rsidRPr="003837CF">
              <w:rPr>
                <w:rFonts w:ascii="Calibri" w:eastAsia="Times New Roman" w:hAnsi="Calibri" w:cs="Calibri"/>
                <w:b/>
                <w:bCs/>
                <w:color w:val="C00000"/>
                <w:kern w:val="0"/>
                <w:sz w:val="28"/>
                <w:szCs w:val="28"/>
                <w:lang w:eastAsia="de-AT"/>
                <w14:ligatures w14:val="none"/>
              </w:rPr>
              <w:t>+</w:t>
            </w:r>
          </w:p>
        </w:tc>
        <w:tc>
          <w:tcPr>
            <w:tcW w:w="992" w:type="dxa"/>
            <w:tcBorders>
              <w:top w:val="nil"/>
              <w:left w:val="nil"/>
              <w:bottom w:val="single" w:sz="4" w:space="0" w:color="auto"/>
              <w:right w:val="single" w:sz="4" w:space="0" w:color="auto"/>
            </w:tcBorders>
            <w:shd w:val="clear" w:color="auto" w:fill="auto"/>
            <w:noWrap/>
            <w:vAlign w:val="center"/>
            <w:hideMark/>
          </w:tcPr>
          <w:p w14:paraId="289AC96C" w14:textId="77777777" w:rsidR="003837CF" w:rsidRPr="003837CF" w:rsidRDefault="003837CF" w:rsidP="003837CF">
            <w:pPr>
              <w:spacing w:after="0" w:line="240" w:lineRule="auto"/>
              <w:jc w:val="center"/>
              <w:rPr>
                <w:rFonts w:ascii="Calibri" w:eastAsia="Times New Roman" w:hAnsi="Calibri" w:cs="Calibri"/>
                <w:b/>
                <w:bCs/>
                <w:color w:val="548235"/>
                <w:kern w:val="0"/>
                <w:sz w:val="28"/>
                <w:szCs w:val="28"/>
                <w:lang w:eastAsia="de-AT"/>
                <w14:ligatures w14:val="none"/>
              </w:rPr>
            </w:pPr>
            <w:r w:rsidRPr="003837CF">
              <w:rPr>
                <w:rFonts w:ascii="Calibri" w:eastAsia="Times New Roman" w:hAnsi="Calibri" w:cs="Calibri"/>
                <w:b/>
                <w:bCs/>
                <w:color w:val="548235"/>
                <w:kern w:val="0"/>
                <w:sz w:val="28"/>
                <w:szCs w:val="28"/>
                <w:lang w:eastAsia="de-AT"/>
                <w14:ligatures w14:val="none"/>
              </w:rPr>
              <w:t>-</w:t>
            </w:r>
          </w:p>
        </w:tc>
        <w:tc>
          <w:tcPr>
            <w:tcW w:w="993" w:type="dxa"/>
            <w:tcBorders>
              <w:top w:val="nil"/>
              <w:left w:val="nil"/>
              <w:bottom w:val="single" w:sz="4" w:space="0" w:color="auto"/>
              <w:right w:val="single" w:sz="4" w:space="0" w:color="auto"/>
            </w:tcBorders>
            <w:shd w:val="clear" w:color="auto" w:fill="auto"/>
            <w:noWrap/>
            <w:vAlign w:val="center"/>
            <w:hideMark/>
          </w:tcPr>
          <w:p w14:paraId="552E00A9" w14:textId="77777777" w:rsidR="003837CF" w:rsidRPr="003837CF" w:rsidRDefault="003837CF" w:rsidP="003837CF">
            <w:pPr>
              <w:spacing w:after="0" w:line="240" w:lineRule="auto"/>
              <w:jc w:val="center"/>
              <w:rPr>
                <w:rFonts w:ascii="Calibri" w:eastAsia="Times New Roman" w:hAnsi="Calibri" w:cs="Calibri"/>
                <w:color w:val="E048B5"/>
                <w:kern w:val="0"/>
                <w:sz w:val="28"/>
                <w:szCs w:val="28"/>
                <w:lang w:eastAsia="de-AT"/>
                <w14:ligatures w14:val="none"/>
              </w:rPr>
            </w:pPr>
            <w:r w:rsidRPr="003837CF">
              <w:rPr>
                <w:rFonts w:ascii="Calibri" w:eastAsia="Times New Roman" w:hAnsi="Calibri" w:cs="Calibri"/>
                <w:color w:val="E048B5"/>
                <w:kern w:val="0"/>
                <w:sz w:val="28"/>
                <w:szCs w:val="28"/>
                <w:lang w:eastAsia="de-AT"/>
                <w14:ligatures w14:val="none"/>
              </w:rPr>
              <w:t>-</w:t>
            </w:r>
          </w:p>
        </w:tc>
      </w:tr>
      <w:tr w:rsidR="003837CF" w:rsidRPr="003837CF" w14:paraId="23EE5C94" w14:textId="77777777" w:rsidTr="003837CF">
        <w:trPr>
          <w:trHeight w:val="810"/>
        </w:trPr>
        <w:tc>
          <w:tcPr>
            <w:tcW w:w="3042" w:type="dxa"/>
            <w:tcBorders>
              <w:top w:val="nil"/>
              <w:left w:val="single" w:sz="4" w:space="0" w:color="auto"/>
              <w:bottom w:val="single" w:sz="4" w:space="0" w:color="auto"/>
              <w:right w:val="single" w:sz="4" w:space="0" w:color="auto"/>
            </w:tcBorders>
            <w:shd w:val="clear" w:color="auto" w:fill="auto"/>
            <w:vAlign w:val="bottom"/>
            <w:hideMark/>
          </w:tcPr>
          <w:p w14:paraId="7B52965C" w14:textId="77777777" w:rsidR="003837CF" w:rsidRPr="003837CF" w:rsidRDefault="003837CF" w:rsidP="003837CF">
            <w:pPr>
              <w:spacing w:after="0" w:line="240" w:lineRule="auto"/>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Wiederaufnahme des geförderten Neubaus bei den gemeinnützigen Bauvereinigungen</w:t>
            </w:r>
          </w:p>
        </w:tc>
        <w:tc>
          <w:tcPr>
            <w:tcW w:w="563" w:type="dxa"/>
            <w:tcBorders>
              <w:top w:val="nil"/>
              <w:left w:val="nil"/>
              <w:bottom w:val="single" w:sz="4" w:space="0" w:color="auto"/>
              <w:right w:val="single" w:sz="4" w:space="0" w:color="auto"/>
            </w:tcBorders>
            <w:shd w:val="clear" w:color="000000" w:fill="A9D08E"/>
            <w:noWrap/>
            <w:vAlign w:val="bottom"/>
            <w:hideMark/>
          </w:tcPr>
          <w:p w14:paraId="2A5F45AD"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179</w:t>
            </w:r>
          </w:p>
        </w:tc>
        <w:tc>
          <w:tcPr>
            <w:tcW w:w="1417" w:type="dxa"/>
            <w:tcBorders>
              <w:top w:val="nil"/>
              <w:left w:val="nil"/>
              <w:bottom w:val="single" w:sz="4" w:space="0" w:color="auto"/>
              <w:right w:val="single" w:sz="4" w:space="0" w:color="auto"/>
            </w:tcBorders>
            <w:shd w:val="clear" w:color="auto" w:fill="auto"/>
            <w:noWrap/>
            <w:vAlign w:val="bottom"/>
            <w:hideMark/>
          </w:tcPr>
          <w:p w14:paraId="2400DA3C"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21.09.2023</w:t>
            </w:r>
          </w:p>
        </w:tc>
        <w:tc>
          <w:tcPr>
            <w:tcW w:w="1134" w:type="dxa"/>
            <w:tcBorders>
              <w:top w:val="nil"/>
              <w:left w:val="nil"/>
              <w:bottom w:val="single" w:sz="4" w:space="0" w:color="auto"/>
              <w:right w:val="single" w:sz="4" w:space="0" w:color="auto"/>
            </w:tcBorders>
            <w:shd w:val="clear" w:color="auto" w:fill="auto"/>
            <w:noWrap/>
            <w:vAlign w:val="bottom"/>
            <w:hideMark/>
          </w:tcPr>
          <w:p w14:paraId="4FC10836" w14:textId="77777777" w:rsidR="003837CF" w:rsidRPr="003837CF" w:rsidRDefault="003837CF" w:rsidP="003837CF">
            <w:pPr>
              <w:spacing w:after="0" w:line="240" w:lineRule="auto"/>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Bau</w:t>
            </w:r>
          </w:p>
        </w:tc>
        <w:tc>
          <w:tcPr>
            <w:tcW w:w="1192" w:type="dxa"/>
            <w:tcBorders>
              <w:top w:val="nil"/>
              <w:left w:val="nil"/>
              <w:bottom w:val="single" w:sz="4" w:space="0" w:color="000000"/>
              <w:right w:val="single" w:sz="4" w:space="0" w:color="000000"/>
            </w:tcBorders>
            <w:shd w:val="clear" w:color="auto" w:fill="auto"/>
            <w:vAlign w:val="bottom"/>
            <w:hideMark/>
          </w:tcPr>
          <w:p w14:paraId="3B64E658" w14:textId="77777777" w:rsidR="003837CF" w:rsidRPr="003837CF" w:rsidRDefault="00FE6916" w:rsidP="003837CF">
            <w:pPr>
              <w:spacing w:after="0" w:line="240" w:lineRule="auto"/>
              <w:rPr>
                <w:rFonts w:ascii="Calibri" w:eastAsia="Times New Roman" w:hAnsi="Calibri" w:cs="Calibri"/>
                <w:color w:val="0563C1"/>
                <w:kern w:val="0"/>
                <w:u w:val="single"/>
                <w:lang w:eastAsia="de-AT"/>
                <w14:ligatures w14:val="none"/>
              </w:rPr>
            </w:pPr>
            <w:hyperlink r:id="rId14" w:history="1">
              <w:r w:rsidR="003837CF" w:rsidRPr="003837CF">
                <w:rPr>
                  <w:rFonts w:ascii="Calibri" w:eastAsia="Times New Roman" w:hAnsi="Calibri" w:cs="Calibri"/>
                  <w:color w:val="0563C1"/>
                  <w:kern w:val="0"/>
                  <w:u w:val="single"/>
                  <w:lang w:eastAsia="de-AT"/>
                  <w14:ligatures w14:val="none"/>
                </w:rPr>
                <w:t>Ltg.-179/A-3/15-2023</w:t>
              </w:r>
            </w:hyperlink>
          </w:p>
        </w:tc>
        <w:tc>
          <w:tcPr>
            <w:tcW w:w="1144" w:type="dxa"/>
            <w:tcBorders>
              <w:top w:val="nil"/>
              <w:left w:val="nil"/>
              <w:bottom w:val="single" w:sz="4" w:space="0" w:color="auto"/>
              <w:right w:val="single" w:sz="4" w:space="0" w:color="auto"/>
            </w:tcBorders>
            <w:shd w:val="clear" w:color="auto" w:fill="auto"/>
            <w:noWrap/>
            <w:vAlign w:val="center"/>
            <w:hideMark/>
          </w:tcPr>
          <w:p w14:paraId="0B28CFEF"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 </w:t>
            </w:r>
          </w:p>
        </w:tc>
        <w:tc>
          <w:tcPr>
            <w:tcW w:w="1284" w:type="dxa"/>
            <w:tcBorders>
              <w:top w:val="nil"/>
              <w:left w:val="nil"/>
              <w:bottom w:val="single" w:sz="4" w:space="0" w:color="auto"/>
              <w:right w:val="single" w:sz="4" w:space="0" w:color="auto"/>
            </w:tcBorders>
            <w:shd w:val="clear" w:color="auto" w:fill="auto"/>
            <w:noWrap/>
            <w:vAlign w:val="center"/>
            <w:hideMark/>
          </w:tcPr>
          <w:p w14:paraId="37BDC5C3" w14:textId="77777777" w:rsidR="003837CF" w:rsidRPr="003837CF" w:rsidRDefault="003837CF" w:rsidP="003837CF">
            <w:pPr>
              <w:spacing w:after="0" w:line="240" w:lineRule="auto"/>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22./23.11.23</w:t>
            </w:r>
          </w:p>
        </w:tc>
        <w:tc>
          <w:tcPr>
            <w:tcW w:w="992" w:type="dxa"/>
            <w:tcBorders>
              <w:top w:val="nil"/>
              <w:left w:val="nil"/>
              <w:bottom w:val="single" w:sz="4" w:space="0" w:color="auto"/>
              <w:right w:val="single" w:sz="4" w:space="0" w:color="auto"/>
            </w:tcBorders>
            <w:shd w:val="clear" w:color="auto" w:fill="auto"/>
            <w:noWrap/>
            <w:vAlign w:val="center"/>
            <w:hideMark/>
          </w:tcPr>
          <w:p w14:paraId="06589DB0" w14:textId="77777777" w:rsidR="003837CF" w:rsidRPr="003837CF" w:rsidRDefault="003837CF" w:rsidP="003837CF">
            <w:pPr>
              <w:spacing w:after="0" w:line="240" w:lineRule="auto"/>
              <w:jc w:val="center"/>
              <w:rPr>
                <w:rFonts w:ascii="Calibri" w:eastAsia="Times New Roman" w:hAnsi="Calibri" w:cs="Calibri"/>
                <w:b/>
                <w:bCs/>
                <w:color w:val="000000"/>
                <w:kern w:val="0"/>
                <w:sz w:val="28"/>
                <w:szCs w:val="28"/>
                <w:lang w:eastAsia="de-AT"/>
                <w14:ligatures w14:val="none"/>
              </w:rPr>
            </w:pPr>
            <w:r w:rsidRPr="003837CF">
              <w:rPr>
                <w:rFonts w:ascii="Calibri" w:eastAsia="Times New Roman" w:hAnsi="Calibri" w:cs="Calibri"/>
                <w:b/>
                <w:bCs/>
                <w:color w:val="000000"/>
                <w:kern w:val="0"/>
                <w:sz w:val="28"/>
                <w:szCs w:val="28"/>
                <w:lang w:eastAsia="de-AT"/>
                <w14:ligatures w14:val="none"/>
              </w:rPr>
              <w:t>-</w:t>
            </w:r>
          </w:p>
        </w:tc>
        <w:tc>
          <w:tcPr>
            <w:tcW w:w="993" w:type="dxa"/>
            <w:tcBorders>
              <w:top w:val="nil"/>
              <w:left w:val="nil"/>
              <w:bottom w:val="single" w:sz="4" w:space="0" w:color="auto"/>
              <w:right w:val="single" w:sz="4" w:space="0" w:color="auto"/>
            </w:tcBorders>
            <w:shd w:val="clear" w:color="auto" w:fill="auto"/>
            <w:noWrap/>
            <w:vAlign w:val="center"/>
            <w:hideMark/>
          </w:tcPr>
          <w:p w14:paraId="10A6263B" w14:textId="77777777" w:rsidR="003837CF" w:rsidRPr="003837CF" w:rsidRDefault="003837CF" w:rsidP="003837CF">
            <w:pPr>
              <w:spacing w:after="0" w:line="240" w:lineRule="auto"/>
              <w:jc w:val="center"/>
              <w:rPr>
                <w:rFonts w:ascii="Calibri" w:eastAsia="Times New Roman" w:hAnsi="Calibri" w:cs="Calibri"/>
                <w:b/>
                <w:bCs/>
                <w:color w:val="305496"/>
                <w:kern w:val="0"/>
                <w:sz w:val="28"/>
                <w:szCs w:val="28"/>
                <w:lang w:eastAsia="de-AT"/>
                <w14:ligatures w14:val="none"/>
              </w:rPr>
            </w:pPr>
            <w:r w:rsidRPr="003837CF">
              <w:rPr>
                <w:rFonts w:ascii="Calibri" w:eastAsia="Times New Roman" w:hAnsi="Calibri" w:cs="Calibri"/>
                <w:b/>
                <w:bCs/>
                <w:color w:val="305496"/>
                <w:kern w:val="0"/>
                <w:sz w:val="28"/>
                <w:szCs w:val="28"/>
                <w:lang w:eastAsia="de-AT"/>
                <w14:ligatures w14:val="none"/>
              </w:rPr>
              <w:t>-</w:t>
            </w:r>
          </w:p>
        </w:tc>
        <w:tc>
          <w:tcPr>
            <w:tcW w:w="850" w:type="dxa"/>
            <w:tcBorders>
              <w:top w:val="nil"/>
              <w:left w:val="nil"/>
              <w:bottom w:val="single" w:sz="4" w:space="0" w:color="auto"/>
              <w:right w:val="single" w:sz="4" w:space="0" w:color="auto"/>
            </w:tcBorders>
            <w:shd w:val="clear" w:color="auto" w:fill="auto"/>
            <w:noWrap/>
            <w:vAlign w:val="center"/>
            <w:hideMark/>
          </w:tcPr>
          <w:p w14:paraId="51156F3D" w14:textId="77777777" w:rsidR="003837CF" w:rsidRPr="003837CF" w:rsidRDefault="003837CF" w:rsidP="003837CF">
            <w:pPr>
              <w:spacing w:after="0" w:line="240" w:lineRule="auto"/>
              <w:jc w:val="center"/>
              <w:rPr>
                <w:rFonts w:ascii="Calibri" w:eastAsia="Times New Roman" w:hAnsi="Calibri" w:cs="Calibri"/>
                <w:b/>
                <w:bCs/>
                <w:color w:val="C00000"/>
                <w:kern w:val="0"/>
                <w:sz w:val="28"/>
                <w:szCs w:val="28"/>
                <w:lang w:eastAsia="de-AT"/>
                <w14:ligatures w14:val="none"/>
              </w:rPr>
            </w:pPr>
            <w:r w:rsidRPr="003837CF">
              <w:rPr>
                <w:rFonts w:ascii="Calibri" w:eastAsia="Times New Roman" w:hAnsi="Calibri" w:cs="Calibri"/>
                <w:b/>
                <w:bCs/>
                <w:color w:val="C00000"/>
                <w:kern w:val="0"/>
                <w:sz w:val="28"/>
                <w:szCs w:val="28"/>
                <w:lang w:eastAsia="de-AT"/>
                <w14:ligatures w14:val="none"/>
              </w:rPr>
              <w:t>+</w:t>
            </w:r>
          </w:p>
        </w:tc>
        <w:tc>
          <w:tcPr>
            <w:tcW w:w="992" w:type="dxa"/>
            <w:tcBorders>
              <w:top w:val="nil"/>
              <w:left w:val="nil"/>
              <w:bottom w:val="single" w:sz="4" w:space="0" w:color="auto"/>
              <w:right w:val="single" w:sz="4" w:space="0" w:color="auto"/>
            </w:tcBorders>
            <w:shd w:val="clear" w:color="auto" w:fill="auto"/>
            <w:noWrap/>
            <w:vAlign w:val="center"/>
            <w:hideMark/>
          </w:tcPr>
          <w:p w14:paraId="3E594DC7" w14:textId="77777777" w:rsidR="003837CF" w:rsidRPr="003837CF" w:rsidRDefault="003837CF" w:rsidP="003837CF">
            <w:pPr>
              <w:spacing w:after="0" w:line="240" w:lineRule="auto"/>
              <w:jc w:val="center"/>
              <w:rPr>
                <w:rFonts w:ascii="Calibri" w:eastAsia="Times New Roman" w:hAnsi="Calibri" w:cs="Calibri"/>
                <w:b/>
                <w:bCs/>
                <w:color w:val="548235"/>
                <w:kern w:val="0"/>
                <w:sz w:val="28"/>
                <w:szCs w:val="28"/>
                <w:lang w:eastAsia="de-AT"/>
                <w14:ligatures w14:val="none"/>
              </w:rPr>
            </w:pPr>
            <w:r w:rsidRPr="003837CF">
              <w:rPr>
                <w:rFonts w:ascii="Calibri" w:eastAsia="Times New Roman" w:hAnsi="Calibri" w:cs="Calibri"/>
                <w:b/>
                <w:bCs/>
                <w:color w:val="548235"/>
                <w:kern w:val="0"/>
                <w:sz w:val="28"/>
                <w:szCs w:val="28"/>
                <w:lang w:eastAsia="de-AT"/>
                <w14:ligatures w14:val="none"/>
              </w:rPr>
              <w:t>+</w:t>
            </w:r>
          </w:p>
        </w:tc>
        <w:tc>
          <w:tcPr>
            <w:tcW w:w="993" w:type="dxa"/>
            <w:tcBorders>
              <w:top w:val="nil"/>
              <w:left w:val="nil"/>
              <w:bottom w:val="single" w:sz="4" w:space="0" w:color="auto"/>
              <w:right w:val="single" w:sz="4" w:space="0" w:color="auto"/>
            </w:tcBorders>
            <w:shd w:val="clear" w:color="auto" w:fill="auto"/>
            <w:noWrap/>
            <w:vAlign w:val="center"/>
            <w:hideMark/>
          </w:tcPr>
          <w:p w14:paraId="0309A43D" w14:textId="77777777" w:rsidR="003837CF" w:rsidRPr="003837CF" w:rsidRDefault="003837CF" w:rsidP="003837CF">
            <w:pPr>
              <w:spacing w:after="0" w:line="240" w:lineRule="auto"/>
              <w:jc w:val="center"/>
              <w:rPr>
                <w:rFonts w:ascii="Calibri" w:eastAsia="Times New Roman" w:hAnsi="Calibri" w:cs="Calibri"/>
                <w:color w:val="E048B5"/>
                <w:kern w:val="0"/>
                <w:sz w:val="28"/>
                <w:szCs w:val="28"/>
                <w:lang w:eastAsia="de-AT"/>
                <w14:ligatures w14:val="none"/>
              </w:rPr>
            </w:pPr>
            <w:r w:rsidRPr="003837CF">
              <w:rPr>
                <w:rFonts w:ascii="Calibri" w:eastAsia="Times New Roman" w:hAnsi="Calibri" w:cs="Calibri"/>
                <w:color w:val="E048B5"/>
                <w:kern w:val="0"/>
                <w:sz w:val="28"/>
                <w:szCs w:val="28"/>
                <w:lang w:eastAsia="de-AT"/>
                <w14:ligatures w14:val="none"/>
              </w:rPr>
              <w:t>+</w:t>
            </w:r>
          </w:p>
        </w:tc>
      </w:tr>
      <w:tr w:rsidR="003837CF" w:rsidRPr="003837CF" w14:paraId="4AE30A70" w14:textId="77777777" w:rsidTr="003837CF">
        <w:trPr>
          <w:trHeight w:val="711"/>
        </w:trPr>
        <w:tc>
          <w:tcPr>
            <w:tcW w:w="3042" w:type="dxa"/>
            <w:tcBorders>
              <w:top w:val="nil"/>
              <w:left w:val="single" w:sz="4" w:space="0" w:color="auto"/>
              <w:bottom w:val="single" w:sz="4" w:space="0" w:color="auto"/>
              <w:right w:val="single" w:sz="4" w:space="0" w:color="auto"/>
            </w:tcBorders>
            <w:shd w:val="clear" w:color="auto" w:fill="auto"/>
            <w:vAlign w:val="bottom"/>
            <w:hideMark/>
          </w:tcPr>
          <w:p w14:paraId="0A6257E3" w14:textId="77777777" w:rsidR="003837CF" w:rsidRPr="003837CF" w:rsidRDefault="003837CF" w:rsidP="003837CF">
            <w:pPr>
              <w:spacing w:after="0" w:line="240" w:lineRule="auto"/>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 xml:space="preserve">Antrag d. </w:t>
            </w:r>
            <w:proofErr w:type="spellStart"/>
            <w:r w:rsidRPr="003837CF">
              <w:rPr>
                <w:rFonts w:ascii="Calibri" w:eastAsia="Times New Roman" w:hAnsi="Calibri" w:cs="Calibri"/>
                <w:color w:val="000000"/>
                <w:kern w:val="0"/>
                <w:lang w:eastAsia="de-AT"/>
                <w14:ligatures w14:val="none"/>
              </w:rPr>
              <w:t>Abg</w:t>
            </w:r>
            <w:proofErr w:type="spellEnd"/>
            <w:r w:rsidRPr="003837CF">
              <w:rPr>
                <w:rFonts w:ascii="Calibri" w:eastAsia="Times New Roman" w:hAnsi="Calibri" w:cs="Calibri"/>
                <w:color w:val="000000"/>
                <w:kern w:val="0"/>
                <w:lang w:eastAsia="de-AT"/>
                <w14:ligatures w14:val="none"/>
              </w:rPr>
              <w:t>. Samwald, u. a. betr. Zweckbindung von Wohnbauförderungsmitteln</w:t>
            </w:r>
          </w:p>
        </w:tc>
        <w:tc>
          <w:tcPr>
            <w:tcW w:w="563" w:type="dxa"/>
            <w:tcBorders>
              <w:top w:val="nil"/>
              <w:left w:val="nil"/>
              <w:bottom w:val="single" w:sz="4" w:space="0" w:color="auto"/>
              <w:right w:val="single" w:sz="4" w:space="0" w:color="auto"/>
            </w:tcBorders>
            <w:shd w:val="clear" w:color="auto" w:fill="auto"/>
            <w:noWrap/>
            <w:vAlign w:val="bottom"/>
            <w:hideMark/>
          </w:tcPr>
          <w:p w14:paraId="79D259D5"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180</w:t>
            </w:r>
          </w:p>
        </w:tc>
        <w:tc>
          <w:tcPr>
            <w:tcW w:w="1417" w:type="dxa"/>
            <w:tcBorders>
              <w:top w:val="nil"/>
              <w:left w:val="nil"/>
              <w:bottom w:val="single" w:sz="4" w:space="0" w:color="auto"/>
              <w:right w:val="single" w:sz="4" w:space="0" w:color="auto"/>
            </w:tcBorders>
            <w:shd w:val="clear" w:color="auto" w:fill="auto"/>
            <w:noWrap/>
            <w:vAlign w:val="bottom"/>
            <w:hideMark/>
          </w:tcPr>
          <w:p w14:paraId="15CD2D54"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21.09.2023</w:t>
            </w:r>
          </w:p>
        </w:tc>
        <w:tc>
          <w:tcPr>
            <w:tcW w:w="1134" w:type="dxa"/>
            <w:tcBorders>
              <w:top w:val="nil"/>
              <w:left w:val="nil"/>
              <w:bottom w:val="single" w:sz="4" w:space="0" w:color="auto"/>
              <w:right w:val="single" w:sz="4" w:space="0" w:color="auto"/>
            </w:tcBorders>
            <w:shd w:val="clear" w:color="auto" w:fill="auto"/>
            <w:noWrap/>
            <w:vAlign w:val="bottom"/>
            <w:hideMark/>
          </w:tcPr>
          <w:p w14:paraId="7B50A72F" w14:textId="77777777" w:rsidR="003837CF" w:rsidRPr="003837CF" w:rsidRDefault="003837CF" w:rsidP="003837CF">
            <w:pPr>
              <w:spacing w:after="0" w:line="240" w:lineRule="auto"/>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R. u. V.</w:t>
            </w:r>
          </w:p>
        </w:tc>
        <w:tc>
          <w:tcPr>
            <w:tcW w:w="1192" w:type="dxa"/>
            <w:tcBorders>
              <w:top w:val="nil"/>
              <w:left w:val="nil"/>
              <w:bottom w:val="single" w:sz="4" w:space="0" w:color="000000"/>
              <w:right w:val="single" w:sz="4" w:space="0" w:color="000000"/>
            </w:tcBorders>
            <w:shd w:val="clear" w:color="auto" w:fill="auto"/>
            <w:vAlign w:val="bottom"/>
            <w:hideMark/>
          </w:tcPr>
          <w:p w14:paraId="602AB4B4" w14:textId="77777777" w:rsidR="003837CF" w:rsidRPr="003837CF" w:rsidRDefault="00FE6916" w:rsidP="003837CF">
            <w:pPr>
              <w:spacing w:after="0" w:line="240" w:lineRule="auto"/>
              <w:rPr>
                <w:rFonts w:ascii="Calibri" w:eastAsia="Times New Roman" w:hAnsi="Calibri" w:cs="Calibri"/>
                <w:color w:val="0563C1"/>
                <w:kern w:val="0"/>
                <w:u w:val="single"/>
                <w:lang w:eastAsia="de-AT"/>
                <w14:ligatures w14:val="none"/>
              </w:rPr>
            </w:pPr>
            <w:hyperlink r:id="rId15" w:history="1">
              <w:r w:rsidR="003837CF" w:rsidRPr="003837CF">
                <w:rPr>
                  <w:rFonts w:ascii="Calibri" w:eastAsia="Times New Roman" w:hAnsi="Calibri" w:cs="Calibri"/>
                  <w:color w:val="0563C1"/>
                  <w:kern w:val="0"/>
                  <w:u w:val="single"/>
                  <w:lang w:eastAsia="de-AT"/>
                  <w14:ligatures w14:val="none"/>
                </w:rPr>
                <w:t>Ltg.-180/A-3/16-2023</w:t>
              </w:r>
            </w:hyperlink>
          </w:p>
        </w:tc>
        <w:tc>
          <w:tcPr>
            <w:tcW w:w="1144" w:type="dxa"/>
            <w:tcBorders>
              <w:top w:val="nil"/>
              <w:left w:val="nil"/>
              <w:bottom w:val="single" w:sz="4" w:space="0" w:color="auto"/>
              <w:right w:val="single" w:sz="4" w:space="0" w:color="auto"/>
            </w:tcBorders>
            <w:shd w:val="clear" w:color="auto" w:fill="auto"/>
            <w:noWrap/>
            <w:vAlign w:val="center"/>
            <w:hideMark/>
          </w:tcPr>
          <w:p w14:paraId="362825A9" w14:textId="77777777" w:rsidR="003837CF" w:rsidRPr="003837CF" w:rsidRDefault="003837CF" w:rsidP="003837CF">
            <w:pPr>
              <w:spacing w:after="0" w:line="240" w:lineRule="auto"/>
              <w:jc w:val="center"/>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 </w:t>
            </w:r>
          </w:p>
        </w:tc>
        <w:tc>
          <w:tcPr>
            <w:tcW w:w="1284" w:type="dxa"/>
            <w:tcBorders>
              <w:top w:val="nil"/>
              <w:left w:val="nil"/>
              <w:bottom w:val="single" w:sz="4" w:space="0" w:color="auto"/>
              <w:right w:val="single" w:sz="4" w:space="0" w:color="auto"/>
            </w:tcBorders>
            <w:shd w:val="clear" w:color="auto" w:fill="auto"/>
            <w:noWrap/>
            <w:vAlign w:val="center"/>
            <w:hideMark/>
          </w:tcPr>
          <w:p w14:paraId="3D398283" w14:textId="77777777" w:rsidR="003837CF" w:rsidRPr="003837CF" w:rsidRDefault="003837CF" w:rsidP="003837CF">
            <w:pPr>
              <w:spacing w:after="0" w:line="240" w:lineRule="auto"/>
              <w:rPr>
                <w:rFonts w:ascii="Calibri" w:eastAsia="Times New Roman" w:hAnsi="Calibri" w:cs="Calibri"/>
                <w:color w:val="000000"/>
                <w:kern w:val="0"/>
                <w:lang w:eastAsia="de-AT"/>
                <w14:ligatures w14:val="none"/>
              </w:rPr>
            </w:pPr>
            <w:r w:rsidRPr="003837CF">
              <w:rPr>
                <w:rFonts w:ascii="Calibri" w:eastAsia="Times New Roman" w:hAnsi="Calibri" w:cs="Calibri"/>
                <w:color w:val="000000"/>
                <w:kern w:val="0"/>
                <w:lang w:eastAsia="de-AT"/>
                <w14:ligatures w14:val="none"/>
              </w:rPr>
              <w:t> </w:t>
            </w:r>
          </w:p>
        </w:tc>
        <w:tc>
          <w:tcPr>
            <w:tcW w:w="4820" w:type="dxa"/>
            <w:gridSpan w:val="5"/>
            <w:tcBorders>
              <w:top w:val="single" w:sz="4" w:space="0" w:color="auto"/>
              <w:left w:val="nil"/>
              <w:bottom w:val="nil"/>
              <w:right w:val="nil"/>
            </w:tcBorders>
            <w:shd w:val="clear" w:color="auto" w:fill="auto"/>
            <w:noWrap/>
            <w:vAlign w:val="center"/>
            <w:hideMark/>
          </w:tcPr>
          <w:p w14:paraId="6250A551" w14:textId="77777777" w:rsidR="003837CF" w:rsidRPr="003837CF" w:rsidRDefault="003837CF" w:rsidP="003837CF">
            <w:pPr>
              <w:spacing w:after="0" w:line="240" w:lineRule="auto"/>
              <w:jc w:val="center"/>
              <w:rPr>
                <w:rFonts w:ascii="Calibri" w:eastAsia="Times New Roman" w:hAnsi="Calibri" w:cs="Calibri"/>
                <w:b/>
                <w:bCs/>
                <w:color w:val="000000"/>
                <w:kern w:val="0"/>
                <w:sz w:val="28"/>
                <w:szCs w:val="28"/>
                <w:lang w:eastAsia="de-AT"/>
                <w14:ligatures w14:val="none"/>
              </w:rPr>
            </w:pPr>
            <w:r w:rsidRPr="003837CF">
              <w:rPr>
                <w:rFonts w:ascii="Calibri" w:eastAsia="Times New Roman" w:hAnsi="Calibri" w:cs="Calibri"/>
                <w:b/>
                <w:bCs/>
                <w:color w:val="000000"/>
                <w:kern w:val="0"/>
                <w:sz w:val="28"/>
                <w:szCs w:val="28"/>
                <w:lang w:eastAsia="de-AT"/>
                <w14:ligatures w14:val="none"/>
              </w:rPr>
              <w:t>vertagt - noch nicht behandelt</w:t>
            </w:r>
          </w:p>
        </w:tc>
      </w:tr>
    </w:tbl>
    <w:p w14:paraId="51B6174F" w14:textId="77777777" w:rsidR="003837CF" w:rsidRDefault="003837CF">
      <w:pPr>
        <w:rPr>
          <w:rFonts w:ascii="Arial" w:hAnsi="Arial" w:cs="Arial"/>
          <w:lang w:val="de-DE"/>
        </w:rPr>
      </w:pPr>
    </w:p>
    <w:p w14:paraId="4D9997C4" w14:textId="77777777" w:rsidR="003837CF" w:rsidRDefault="003837CF">
      <w:pPr>
        <w:rPr>
          <w:rFonts w:ascii="Arial" w:hAnsi="Arial" w:cs="Arial"/>
          <w:i/>
          <w:iCs/>
          <w:lang w:val="de-DE"/>
        </w:rPr>
        <w:sectPr w:rsidR="003837CF" w:rsidSect="003837CF">
          <w:pgSz w:w="16838" w:h="11906" w:orient="landscape"/>
          <w:pgMar w:top="1417" w:right="1134" w:bottom="1417" w:left="1417" w:header="708" w:footer="708" w:gutter="0"/>
          <w:cols w:space="708"/>
          <w:docGrid w:linePitch="360"/>
        </w:sectPr>
      </w:pPr>
      <w:r w:rsidRPr="003837CF">
        <w:rPr>
          <w:rFonts w:ascii="Arial" w:hAnsi="Arial" w:cs="Arial"/>
          <w:i/>
          <w:iCs/>
          <w:lang w:val="de-DE"/>
        </w:rPr>
        <w:t>Die Anträge sind mittels Link in der Tabelle abrufbar.</w:t>
      </w:r>
    </w:p>
    <w:p w14:paraId="1FAC88B7" w14:textId="77777777" w:rsidR="001372EF" w:rsidRPr="00BB2823" w:rsidRDefault="001372EF" w:rsidP="001372EF">
      <w:pPr>
        <w:pStyle w:val="StandardWeb"/>
        <w:shd w:val="clear" w:color="auto" w:fill="FFFFFF"/>
        <w:spacing w:before="0" w:beforeAutospacing="0" w:after="300" w:afterAutospacing="0"/>
        <w:rPr>
          <w:rFonts w:ascii="Raleway" w:hAnsi="Raleway"/>
          <w:color w:val="747474"/>
          <w:sz w:val="28"/>
          <w:szCs w:val="28"/>
        </w:rPr>
      </w:pPr>
      <w:r w:rsidRPr="00BB2823">
        <w:rPr>
          <w:rFonts w:ascii="Raleway" w:hAnsi="Raleway"/>
          <w:color w:val="747474"/>
          <w:sz w:val="28"/>
          <w:szCs w:val="28"/>
        </w:rPr>
        <w:lastRenderedPageBreak/>
        <w:t>14.09.2023</w:t>
      </w:r>
    </w:p>
    <w:p w14:paraId="390593F2" w14:textId="77777777" w:rsidR="001372EF" w:rsidRPr="00BB2823" w:rsidRDefault="001372EF" w:rsidP="00BB2823">
      <w:pPr>
        <w:jc w:val="both"/>
        <w:rPr>
          <w:rFonts w:ascii="Raleway" w:hAnsi="Raleway"/>
          <w:color w:val="747474"/>
          <w:sz w:val="24"/>
          <w:szCs w:val="24"/>
        </w:rPr>
      </w:pPr>
      <w:r w:rsidRPr="00BB2823">
        <w:rPr>
          <w:rFonts w:ascii="Raleway" w:hAnsi="Raleway"/>
          <w:color w:val="747474"/>
          <w:sz w:val="24"/>
          <w:szCs w:val="24"/>
        </w:rPr>
        <w:t>Hergovich nach EZB-Entscheid: Zinspreisdeckel notwendiger denn je</w:t>
      </w:r>
    </w:p>
    <w:p w14:paraId="26097EFC" w14:textId="77777777" w:rsidR="001372EF" w:rsidRPr="00BB2823" w:rsidRDefault="001372EF" w:rsidP="00BB2823">
      <w:pPr>
        <w:jc w:val="both"/>
        <w:rPr>
          <w:rFonts w:ascii="Raleway" w:hAnsi="Raleway"/>
          <w:color w:val="747474"/>
          <w:sz w:val="24"/>
          <w:szCs w:val="24"/>
        </w:rPr>
      </w:pPr>
      <w:r w:rsidRPr="00BB2823">
        <w:rPr>
          <w:rStyle w:val="Hervorhebung"/>
          <w:rFonts w:ascii="Raleway" w:hAnsi="Raleway"/>
          <w:color w:val="747474"/>
          <w:sz w:val="24"/>
          <w:szCs w:val="24"/>
        </w:rPr>
        <w:t>Regierung darf nicht zusehen, wie die Mittelschicht ihre Häuser und Wohnungen verliert</w:t>
      </w:r>
    </w:p>
    <w:p w14:paraId="55595BBE" w14:textId="77777777" w:rsidR="001372EF" w:rsidRPr="00BB2823" w:rsidRDefault="001372EF" w:rsidP="00BB2823">
      <w:pPr>
        <w:jc w:val="both"/>
        <w:rPr>
          <w:rFonts w:ascii="Raleway" w:hAnsi="Raleway"/>
          <w:color w:val="747474"/>
          <w:sz w:val="24"/>
          <w:szCs w:val="24"/>
        </w:rPr>
      </w:pPr>
      <w:r w:rsidRPr="00BB2823">
        <w:rPr>
          <w:rStyle w:val="Hervorhebung"/>
          <w:rFonts w:ascii="Raleway" w:hAnsi="Raleway"/>
          <w:color w:val="747474"/>
          <w:sz w:val="24"/>
          <w:szCs w:val="24"/>
        </w:rPr>
        <w:t>„Die Zinsen sind auf Rekordniveau nochmals – auf inzwischen 4,5 Prozent – gestiegen. Gleichzeitig bricht die Wirtschaft ein, die Arbeitslosigkeit steigt und immer mehr Menschen wissen nicht mehr, wie sie sich das Leben noch leisten können. Durch die schlechtere Wirtschaftslage wird es immer mehr Kreditausfälle geben. Wir wollen nicht, dass Kinder nicht mehr im Garten spielen können und Eltern ihr Haus verlieren. Deshalb ist ein Einschreiten der Regierung überfällig. Eine Übergewinnsteuer und der von mir vorgeschlagene Zinspreisdeckel von 3 Prozent für eine Kreditsumme von 300.000 Euro ist überfällig. Die Banken schwimmen in Übergewinnen und die Häuslbauer haben mit jedem Monat in der Hochzinsphase mehr und mehr Schwierigkeiten ihre Kredite zu bezahlen. Auch die Neukreditvergaben gehen massiv zurück, da Kredite noch teurer werden. Es kommt zu Rückgängen von 57 Prozent, wie eine aktuelle Erhebung eines Bankinstituts ergeben hat. Das schadet der Bauwirtschaft und erhöht die Arbeitslosigkeit. Es besteht akuter Handlungsbedarf“</w:t>
      </w:r>
      <w:r w:rsidRPr="00BB2823">
        <w:rPr>
          <w:rFonts w:ascii="Raleway" w:hAnsi="Raleway"/>
          <w:color w:val="747474"/>
          <w:sz w:val="24"/>
          <w:szCs w:val="24"/>
        </w:rPr>
        <w:t>, sagt </w:t>
      </w:r>
      <w:r w:rsidRPr="00BB2823">
        <w:rPr>
          <w:rStyle w:val="Fett"/>
          <w:rFonts w:ascii="Raleway" w:hAnsi="Raleway"/>
          <w:color w:val="747474"/>
          <w:sz w:val="24"/>
          <w:szCs w:val="24"/>
        </w:rPr>
        <w:t>Sven Hergovich, Kontroll-Landesrat und Vorsitzender der SPÖ Niederösterreich</w:t>
      </w:r>
      <w:r w:rsidRPr="00BB2823">
        <w:rPr>
          <w:rFonts w:ascii="Raleway" w:hAnsi="Raleway"/>
          <w:color w:val="747474"/>
          <w:sz w:val="24"/>
          <w:szCs w:val="24"/>
        </w:rPr>
        <w:t>.</w:t>
      </w:r>
    </w:p>
    <w:p w14:paraId="60216BD4" w14:textId="77777777" w:rsidR="001372EF" w:rsidRPr="00BB2823" w:rsidRDefault="001372EF" w:rsidP="00BB2823">
      <w:pPr>
        <w:jc w:val="both"/>
        <w:rPr>
          <w:rFonts w:ascii="Raleway" w:hAnsi="Raleway"/>
          <w:color w:val="747474"/>
          <w:sz w:val="24"/>
          <w:szCs w:val="24"/>
        </w:rPr>
      </w:pPr>
      <w:r w:rsidRPr="00BB2823">
        <w:rPr>
          <w:rStyle w:val="Hervorhebung"/>
          <w:rFonts w:ascii="Raleway" w:hAnsi="Raleway"/>
          <w:color w:val="747474"/>
          <w:sz w:val="24"/>
          <w:szCs w:val="24"/>
        </w:rPr>
        <w:t>„Seit Wochen erleben wir, dass die Banken ihre Kundinnen und Kunden beschimpfen und belehren. Dass sie ihnen ausrichten, wie sie alles besser machen sollten. Die ÖVP macht mit und belehrt die Häuslbauer. Statt dieser arroganten Besserwisserei von der niemand etwas hat, ist es Zeit endlich zu handeln. Die Banken müssen Verantwortung übernehmen. Entweder freiwillig oder auf politischen Druck. Die Regierung darf nicht mehr zusehen, wie die Mittelschicht ihre Häuser und Wohnungen verliert. Übergewinne besteuern, Banken-Häuslbauer entlasten, ist das Gebot der Stunde“</w:t>
      </w:r>
      <w:r w:rsidRPr="00BB2823">
        <w:rPr>
          <w:rFonts w:ascii="Raleway" w:hAnsi="Raleway"/>
          <w:color w:val="747474"/>
          <w:sz w:val="24"/>
          <w:szCs w:val="24"/>
        </w:rPr>
        <w:t>, schließt </w:t>
      </w:r>
      <w:r w:rsidRPr="00BB2823">
        <w:rPr>
          <w:rStyle w:val="Fett"/>
          <w:rFonts w:ascii="Raleway" w:hAnsi="Raleway"/>
          <w:color w:val="747474"/>
          <w:sz w:val="24"/>
          <w:szCs w:val="24"/>
        </w:rPr>
        <w:t>Hergovich</w:t>
      </w:r>
      <w:r w:rsidRPr="00BB2823">
        <w:rPr>
          <w:rFonts w:ascii="Raleway" w:hAnsi="Raleway"/>
          <w:color w:val="747474"/>
          <w:sz w:val="24"/>
          <w:szCs w:val="24"/>
        </w:rPr>
        <w:t>.</w:t>
      </w:r>
    </w:p>
    <w:p w14:paraId="3A1900FB" w14:textId="77777777" w:rsidR="001372EF" w:rsidRDefault="001372EF">
      <w:pPr>
        <w:rPr>
          <w:rFonts w:ascii="Raleway" w:eastAsia="Times New Roman" w:hAnsi="Raleway" w:cs="Times New Roman"/>
          <w:color w:val="747474"/>
          <w:kern w:val="0"/>
          <w:sz w:val="24"/>
          <w:szCs w:val="24"/>
          <w:lang w:eastAsia="de-AT"/>
          <w14:ligatures w14:val="none"/>
        </w:rPr>
      </w:pPr>
      <w:r>
        <w:rPr>
          <w:rFonts w:ascii="Raleway" w:eastAsia="Times New Roman" w:hAnsi="Raleway" w:cs="Times New Roman"/>
          <w:color w:val="747474"/>
          <w:kern w:val="0"/>
          <w:sz w:val="24"/>
          <w:szCs w:val="24"/>
          <w:lang w:eastAsia="de-AT"/>
          <w14:ligatures w14:val="none"/>
        </w:rPr>
        <w:br w:type="page"/>
      </w:r>
    </w:p>
    <w:p w14:paraId="47B27FCA" w14:textId="61BA1087" w:rsidR="00515D5E" w:rsidRPr="00515D5E" w:rsidRDefault="00515D5E" w:rsidP="00515D5E">
      <w:pPr>
        <w:shd w:val="clear" w:color="auto" w:fill="FFFFFF"/>
        <w:spacing w:after="300" w:line="240" w:lineRule="auto"/>
        <w:rPr>
          <w:rFonts w:ascii="Raleway" w:eastAsia="Times New Roman" w:hAnsi="Raleway" w:cs="Times New Roman"/>
          <w:color w:val="747474"/>
          <w:kern w:val="0"/>
          <w:sz w:val="24"/>
          <w:szCs w:val="24"/>
          <w:lang w:eastAsia="de-AT"/>
          <w14:ligatures w14:val="none"/>
        </w:rPr>
      </w:pPr>
      <w:r w:rsidRPr="00515D5E">
        <w:rPr>
          <w:rFonts w:ascii="Raleway" w:eastAsia="Times New Roman" w:hAnsi="Raleway" w:cs="Times New Roman"/>
          <w:color w:val="747474"/>
          <w:kern w:val="0"/>
          <w:sz w:val="24"/>
          <w:szCs w:val="24"/>
          <w:lang w:eastAsia="de-AT"/>
          <w14:ligatures w14:val="none"/>
        </w:rPr>
        <w:lastRenderedPageBreak/>
        <w:t>25.10.2023</w:t>
      </w:r>
    </w:p>
    <w:p w14:paraId="25DD332A" w14:textId="77777777" w:rsidR="00515D5E" w:rsidRPr="00515D5E" w:rsidRDefault="00515D5E" w:rsidP="00BB2823">
      <w:pPr>
        <w:rPr>
          <w:rFonts w:ascii="Raleway" w:eastAsia="Times New Roman" w:hAnsi="Raleway" w:cs="Times New Roman"/>
          <w:b/>
          <w:bCs/>
          <w:color w:val="747474"/>
          <w:kern w:val="36"/>
          <w:sz w:val="44"/>
          <w:szCs w:val="44"/>
          <w:lang w:eastAsia="de-AT"/>
          <w14:ligatures w14:val="none"/>
        </w:rPr>
      </w:pPr>
      <w:r w:rsidRPr="00515D5E">
        <w:rPr>
          <w:rFonts w:ascii="Raleway" w:eastAsia="Times New Roman" w:hAnsi="Raleway" w:cs="Times New Roman"/>
          <w:b/>
          <w:bCs/>
          <w:color w:val="747474"/>
          <w:kern w:val="36"/>
          <w:sz w:val="44"/>
          <w:szCs w:val="44"/>
          <w:lang w:eastAsia="de-AT"/>
          <w14:ligatures w14:val="none"/>
        </w:rPr>
        <w:t>SPÖ-Wohnpaket für leistbares Wohnen im NÖ Landtag abgelehnt</w:t>
      </w:r>
    </w:p>
    <w:p w14:paraId="32009060" w14:textId="77777777" w:rsidR="00515D5E" w:rsidRPr="00515D5E" w:rsidRDefault="00515D5E" w:rsidP="00BB2823">
      <w:pPr>
        <w:rPr>
          <w:rFonts w:ascii="Raleway" w:eastAsia="Times New Roman" w:hAnsi="Raleway" w:cs="Times New Roman"/>
          <w:b/>
          <w:bCs/>
          <w:color w:val="747474"/>
          <w:kern w:val="0"/>
          <w:sz w:val="32"/>
          <w:szCs w:val="32"/>
          <w:lang w:eastAsia="de-AT"/>
          <w14:ligatures w14:val="none"/>
        </w:rPr>
      </w:pPr>
      <w:r w:rsidRPr="00515D5E">
        <w:rPr>
          <w:rFonts w:ascii="Raleway" w:eastAsia="Times New Roman" w:hAnsi="Raleway" w:cs="Times New Roman"/>
          <w:b/>
          <w:bCs/>
          <w:color w:val="747474"/>
          <w:kern w:val="0"/>
          <w:sz w:val="32"/>
          <w:szCs w:val="32"/>
          <w:lang w:eastAsia="de-AT"/>
          <w14:ligatures w14:val="none"/>
        </w:rPr>
        <w:t>SPÖ NÖ fordert einen Zinspreisdeckel für Häuslbauer- und Wohnkredite, die Kostenübernahmen für Energieausweise, höhere Förderungen beim Umstieg auf klimaschonende Heizsysteme und die Möglichkeit, die Wohnbauförderung auch rückwirkend in Anspruch zu nehmen</w:t>
      </w:r>
    </w:p>
    <w:p w14:paraId="5AAF7C9A" w14:textId="77777777" w:rsidR="00515D5E" w:rsidRPr="00515D5E" w:rsidRDefault="00515D5E" w:rsidP="00BB2823">
      <w:pPr>
        <w:rPr>
          <w:rFonts w:ascii="Raleway" w:eastAsia="Times New Roman" w:hAnsi="Raleway" w:cs="Times New Roman"/>
          <w:color w:val="747474"/>
          <w:kern w:val="0"/>
          <w:sz w:val="24"/>
          <w:szCs w:val="24"/>
          <w:lang w:eastAsia="de-AT"/>
          <w14:ligatures w14:val="none"/>
        </w:rPr>
      </w:pPr>
      <w:r w:rsidRPr="00515D5E">
        <w:rPr>
          <w:rFonts w:ascii="Raleway" w:eastAsia="Times New Roman" w:hAnsi="Raleway" w:cs="Times New Roman"/>
          <w:color w:val="747474"/>
          <w:kern w:val="0"/>
          <w:sz w:val="24"/>
          <w:szCs w:val="24"/>
          <w:lang w:eastAsia="de-AT"/>
          <w14:ligatures w14:val="none"/>
        </w:rPr>
        <w:t>Teile des von der SPÖ NÖ eingebrachten Wohnpakets, standen auf der Tagesordnung der dieswöchigen Landtagssitzung. Wohnbausprecher LAbg. Mag. Christian Samwald, Klima- und Energiesprecherin LAbg. Mag. Kerstin Suchan-Mayr und Kommunalsprecher LAbg. Wolfgang Kocevar drängten im Plenum auf dringend notwendige Entlastungen, die Bemühungen waren allerdings (noch) vergebens:</w:t>
      </w:r>
    </w:p>
    <w:p w14:paraId="194C15F6" w14:textId="77777777" w:rsidR="00515D5E" w:rsidRPr="00515D5E" w:rsidRDefault="00515D5E" w:rsidP="009F714A">
      <w:pPr>
        <w:shd w:val="clear" w:color="auto" w:fill="FFFFFF"/>
        <w:spacing w:line="240" w:lineRule="auto"/>
        <w:jc w:val="both"/>
        <w:rPr>
          <w:rFonts w:ascii="Raleway" w:eastAsia="Times New Roman" w:hAnsi="Raleway" w:cs="Times New Roman"/>
          <w:i/>
          <w:iCs/>
          <w:color w:val="747474"/>
          <w:kern w:val="0"/>
          <w:sz w:val="24"/>
          <w:szCs w:val="24"/>
          <w:lang w:eastAsia="de-AT"/>
          <w14:ligatures w14:val="none"/>
        </w:rPr>
      </w:pPr>
      <w:r w:rsidRPr="00515D5E">
        <w:rPr>
          <w:rFonts w:ascii="Raleway" w:eastAsia="Times New Roman" w:hAnsi="Raleway" w:cs="Times New Roman"/>
          <w:i/>
          <w:iCs/>
          <w:color w:val="747474"/>
          <w:kern w:val="0"/>
          <w:sz w:val="24"/>
          <w:szCs w:val="24"/>
          <w:lang w:eastAsia="de-AT"/>
          <w14:ligatures w14:val="none"/>
        </w:rPr>
        <w:t>„Es ist absolut unverständlich, dass auf konstruktive Vorschläge anderer Parteien, die die Entlastung der Niederösterreicher*innen zum Ziel haben, reflexartig mit ‚Nein‘ geantwortet wird. Wir werden hier jedoch so lange keine Ruhe geben, bis in unserem Bundesland endlich wieder Wohnraum zur Verfügung steht, der für alle, und nicht nur für die Superreichen, leistbar ist!“</w:t>
      </w:r>
    </w:p>
    <w:p w14:paraId="16F33511" w14:textId="77777777" w:rsidR="00515D5E" w:rsidRPr="00515D5E" w:rsidRDefault="00515D5E" w:rsidP="009F714A">
      <w:pPr>
        <w:shd w:val="clear" w:color="auto" w:fill="FFFFFF"/>
        <w:spacing w:after="300" w:line="240" w:lineRule="auto"/>
        <w:jc w:val="both"/>
        <w:rPr>
          <w:rFonts w:ascii="Raleway" w:eastAsia="Times New Roman" w:hAnsi="Raleway" w:cs="Times New Roman"/>
          <w:color w:val="747474"/>
          <w:kern w:val="0"/>
          <w:sz w:val="24"/>
          <w:szCs w:val="24"/>
          <w:lang w:eastAsia="de-AT"/>
          <w14:ligatures w14:val="none"/>
        </w:rPr>
      </w:pPr>
      <w:r w:rsidRPr="00515D5E">
        <w:rPr>
          <w:rFonts w:ascii="Raleway" w:eastAsia="Times New Roman" w:hAnsi="Raleway" w:cs="Times New Roman"/>
          <w:color w:val="747474"/>
          <w:kern w:val="0"/>
          <w:sz w:val="24"/>
          <w:szCs w:val="24"/>
          <w:lang w:eastAsia="de-AT"/>
          <w14:ligatures w14:val="none"/>
        </w:rPr>
        <w:t>Dass man dieses Thema auch in einer der nächsten Landtagssitzungen weiter diskutieren wird, ist dem Umstand geschuldet, dass die SPÖ-Anträge auf eine Wiederaufnahme des geförderten Neubaus, einen echten Mietpreisdeckel und eine Zweckwidmung der Wohnbauförderungsgelder vertagt wurden.</w:t>
      </w:r>
    </w:p>
    <w:p w14:paraId="0B479795" w14:textId="77777777" w:rsidR="00515D5E" w:rsidRPr="00515D5E" w:rsidRDefault="00515D5E" w:rsidP="009F714A">
      <w:pPr>
        <w:shd w:val="clear" w:color="auto" w:fill="FFFFFF"/>
        <w:spacing w:line="240" w:lineRule="auto"/>
        <w:jc w:val="both"/>
        <w:rPr>
          <w:rFonts w:ascii="Raleway" w:eastAsia="Times New Roman" w:hAnsi="Raleway" w:cs="Times New Roman"/>
          <w:i/>
          <w:iCs/>
          <w:color w:val="747474"/>
          <w:kern w:val="0"/>
          <w:sz w:val="24"/>
          <w:szCs w:val="24"/>
          <w:lang w:eastAsia="de-AT"/>
          <w14:ligatures w14:val="none"/>
        </w:rPr>
      </w:pPr>
      <w:r w:rsidRPr="00515D5E">
        <w:rPr>
          <w:rFonts w:ascii="Raleway" w:eastAsia="Times New Roman" w:hAnsi="Raleway" w:cs="Times New Roman"/>
          <w:i/>
          <w:iCs/>
          <w:color w:val="747474"/>
          <w:kern w:val="0"/>
          <w:sz w:val="24"/>
          <w:szCs w:val="24"/>
          <w:lang w:eastAsia="de-AT"/>
          <w14:ligatures w14:val="none"/>
        </w:rPr>
        <w:t>„Das hat damit zu tun, dass der ÖVP keine plausiblen Gründe eingefallen sind, warum sie diese Anträge ablehnen sollen“,</w:t>
      </w:r>
    </w:p>
    <w:p w14:paraId="548EF0C4" w14:textId="77777777" w:rsidR="00515D5E" w:rsidRPr="00515D5E" w:rsidRDefault="00515D5E" w:rsidP="009F714A">
      <w:pPr>
        <w:shd w:val="clear" w:color="auto" w:fill="FFFFFF"/>
        <w:spacing w:after="300" w:line="240" w:lineRule="auto"/>
        <w:jc w:val="both"/>
        <w:rPr>
          <w:rFonts w:ascii="Raleway" w:eastAsia="Times New Roman" w:hAnsi="Raleway" w:cs="Times New Roman"/>
          <w:color w:val="747474"/>
          <w:kern w:val="0"/>
          <w:sz w:val="24"/>
          <w:szCs w:val="24"/>
          <w:lang w:eastAsia="de-AT"/>
          <w14:ligatures w14:val="none"/>
        </w:rPr>
      </w:pPr>
      <w:r w:rsidRPr="00515D5E">
        <w:rPr>
          <w:rFonts w:ascii="Raleway" w:eastAsia="Times New Roman" w:hAnsi="Raleway" w:cs="Times New Roman"/>
          <w:color w:val="747474"/>
          <w:kern w:val="0"/>
          <w:sz w:val="24"/>
          <w:szCs w:val="24"/>
          <w:lang w:eastAsia="de-AT"/>
          <w14:ligatures w14:val="none"/>
        </w:rPr>
        <w:t>attestieren Samwald, Suchan-Mayr und Kocevar der Volkspartei mangelnde Kreativität.</w:t>
      </w:r>
    </w:p>
    <w:p w14:paraId="0AB76D8B" w14:textId="77777777" w:rsidR="00515D5E" w:rsidRPr="00515D5E" w:rsidRDefault="00515D5E" w:rsidP="009F714A">
      <w:pPr>
        <w:shd w:val="clear" w:color="auto" w:fill="FFFFFF"/>
        <w:spacing w:line="240" w:lineRule="auto"/>
        <w:jc w:val="both"/>
        <w:rPr>
          <w:rFonts w:ascii="Raleway" w:eastAsia="Times New Roman" w:hAnsi="Raleway" w:cs="Times New Roman"/>
          <w:i/>
          <w:iCs/>
          <w:color w:val="747474"/>
          <w:kern w:val="0"/>
          <w:sz w:val="24"/>
          <w:szCs w:val="24"/>
          <w:lang w:eastAsia="de-AT"/>
          <w14:ligatures w14:val="none"/>
        </w:rPr>
      </w:pPr>
      <w:r w:rsidRPr="00515D5E">
        <w:rPr>
          <w:rFonts w:ascii="Raleway" w:eastAsia="Times New Roman" w:hAnsi="Raleway" w:cs="Times New Roman"/>
          <w:i/>
          <w:iCs/>
          <w:color w:val="747474"/>
          <w:kern w:val="0"/>
          <w:sz w:val="24"/>
          <w:szCs w:val="24"/>
          <w:lang w:eastAsia="de-AT"/>
          <w14:ligatures w14:val="none"/>
        </w:rPr>
        <w:t>„Selbst nichts auf die Reihe bringen – wie die seit Monaten angekündigte und längst überfällige Reform der NÖ-Wohnbauförderung – und alles kategorisch ablehnen, was nicht aus der Feder der ÖVP kommt, ist nicht länger auszuhalten“,</w:t>
      </w:r>
    </w:p>
    <w:p w14:paraId="39F214E9" w14:textId="77777777" w:rsidR="00515D5E" w:rsidRPr="00515D5E" w:rsidRDefault="00515D5E" w:rsidP="009F714A">
      <w:pPr>
        <w:shd w:val="clear" w:color="auto" w:fill="FFFFFF"/>
        <w:spacing w:line="240" w:lineRule="auto"/>
        <w:jc w:val="both"/>
        <w:rPr>
          <w:rFonts w:ascii="Raleway" w:eastAsia="Times New Roman" w:hAnsi="Raleway" w:cs="Times New Roman"/>
          <w:color w:val="747474"/>
          <w:kern w:val="0"/>
          <w:sz w:val="24"/>
          <w:szCs w:val="24"/>
          <w:lang w:eastAsia="de-AT"/>
          <w14:ligatures w14:val="none"/>
        </w:rPr>
      </w:pPr>
      <w:r w:rsidRPr="00515D5E">
        <w:rPr>
          <w:rFonts w:ascii="Raleway" w:eastAsia="Times New Roman" w:hAnsi="Raleway" w:cs="Times New Roman"/>
          <w:color w:val="747474"/>
          <w:kern w:val="0"/>
          <w:sz w:val="24"/>
          <w:szCs w:val="24"/>
          <w:lang w:eastAsia="de-AT"/>
          <w14:ligatures w14:val="none"/>
        </w:rPr>
        <w:t xml:space="preserve">kommentiert auch SPÖ-Klubobmann Hannes Weninger die </w:t>
      </w:r>
      <w:proofErr w:type="spellStart"/>
      <w:r w:rsidRPr="00515D5E">
        <w:rPr>
          <w:rFonts w:ascii="Raleway" w:eastAsia="Times New Roman" w:hAnsi="Raleway" w:cs="Times New Roman"/>
          <w:color w:val="747474"/>
          <w:kern w:val="0"/>
          <w:sz w:val="24"/>
          <w:szCs w:val="24"/>
          <w:lang w:eastAsia="de-AT"/>
          <w14:ligatures w14:val="none"/>
        </w:rPr>
        <w:t>Njet</w:t>
      </w:r>
      <w:proofErr w:type="spellEnd"/>
      <w:r w:rsidRPr="00515D5E">
        <w:rPr>
          <w:rFonts w:ascii="Raleway" w:eastAsia="Times New Roman" w:hAnsi="Raleway" w:cs="Times New Roman"/>
          <w:color w:val="747474"/>
          <w:kern w:val="0"/>
          <w:sz w:val="24"/>
          <w:szCs w:val="24"/>
          <w:lang w:eastAsia="de-AT"/>
          <w14:ligatures w14:val="none"/>
        </w:rPr>
        <w:t>-Politik der schwarz-blauen Landeskoalition.</w:t>
      </w:r>
    </w:p>
    <w:p w14:paraId="1CD12C01" w14:textId="0F01C382" w:rsidR="003837CF" w:rsidRPr="00931E52" w:rsidRDefault="003837CF" w:rsidP="009F714A">
      <w:pPr>
        <w:jc w:val="both"/>
        <w:rPr>
          <w:rFonts w:ascii="Arial" w:hAnsi="Arial" w:cs="Arial"/>
          <w:i/>
          <w:iCs/>
          <w:sz w:val="20"/>
          <w:szCs w:val="20"/>
        </w:rPr>
      </w:pPr>
    </w:p>
    <w:p w14:paraId="5FE41F82" w14:textId="2A0F23C8" w:rsidR="00211E16" w:rsidRDefault="00211E16">
      <w:pPr>
        <w:rPr>
          <w:rFonts w:ascii="Arial" w:hAnsi="Arial" w:cs="Arial"/>
          <w:i/>
          <w:iCs/>
          <w:sz w:val="20"/>
          <w:szCs w:val="20"/>
          <w:lang w:val="de-DE"/>
        </w:rPr>
      </w:pPr>
      <w:r>
        <w:rPr>
          <w:rFonts w:ascii="Arial" w:hAnsi="Arial" w:cs="Arial"/>
          <w:i/>
          <w:iCs/>
          <w:sz w:val="20"/>
          <w:szCs w:val="20"/>
          <w:lang w:val="de-DE"/>
        </w:rPr>
        <w:br w:type="page"/>
      </w:r>
    </w:p>
    <w:p w14:paraId="5DDE8690" w14:textId="77777777" w:rsidR="009A17CE" w:rsidRPr="00686C16" w:rsidRDefault="009A17CE" w:rsidP="00BB2823">
      <w:pPr>
        <w:pStyle w:val="berschrift1"/>
        <w:rPr>
          <w:rFonts w:ascii="Arial" w:hAnsi="Arial" w:cs="Arial"/>
          <w:sz w:val="28"/>
          <w:szCs w:val="28"/>
          <w:u w:val="single"/>
          <w:lang w:val="de-DE"/>
        </w:rPr>
      </w:pPr>
      <w:bookmarkStart w:id="1" w:name="_Toc153363577"/>
      <w:r w:rsidRPr="00686C16">
        <w:rPr>
          <w:rFonts w:ascii="Arial" w:hAnsi="Arial" w:cs="Arial"/>
          <w:sz w:val="28"/>
          <w:szCs w:val="28"/>
          <w:u w:val="single"/>
          <w:lang w:val="de-DE"/>
        </w:rPr>
        <w:lastRenderedPageBreak/>
        <w:t>Wohnbaubudget in NÖ für 2024</w:t>
      </w:r>
      <w:bookmarkEnd w:id="1"/>
    </w:p>
    <w:p w14:paraId="3CDD2EE2" w14:textId="77777777" w:rsidR="009A17CE" w:rsidRPr="009A6DC4" w:rsidRDefault="009A17CE" w:rsidP="009A17CE">
      <w:pPr>
        <w:rPr>
          <w:rFonts w:ascii="Arial" w:hAnsi="Arial" w:cs="Arial"/>
          <w:lang w:val="de-DE"/>
        </w:rPr>
      </w:pPr>
    </w:p>
    <w:p w14:paraId="0C5C7583" w14:textId="77777777" w:rsidR="009A17CE" w:rsidRPr="009A6DC4" w:rsidRDefault="009A17CE" w:rsidP="009A17CE">
      <w:pPr>
        <w:rPr>
          <w:rFonts w:ascii="Arial" w:hAnsi="Arial" w:cs="Arial"/>
          <w:sz w:val="24"/>
          <w:szCs w:val="24"/>
        </w:rPr>
      </w:pPr>
      <w:r w:rsidRPr="009A6DC4">
        <w:rPr>
          <w:rFonts w:ascii="Arial" w:hAnsi="Arial" w:cs="Arial"/>
          <w:sz w:val="24"/>
          <w:szCs w:val="24"/>
        </w:rPr>
        <w:t>Gruppe 4 – Soziale Wohlfahrt und Wohnbauförderung</w:t>
      </w: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364"/>
        <w:gridCol w:w="1348"/>
        <w:gridCol w:w="1437"/>
        <w:gridCol w:w="899"/>
      </w:tblGrid>
      <w:tr w:rsidR="009A17CE" w:rsidRPr="005C3D09" w14:paraId="33926FD9" w14:textId="77777777" w:rsidTr="005750DB">
        <w:trPr>
          <w:trHeight w:val="320"/>
        </w:trPr>
        <w:tc>
          <w:tcPr>
            <w:tcW w:w="3823" w:type="dxa"/>
            <w:shd w:val="clear" w:color="auto" w:fill="auto"/>
            <w:noWrap/>
            <w:vAlign w:val="bottom"/>
            <w:hideMark/>
          </w:tcPr>
          <w:p w14:paraId="5214DB29" w14:textId="77777777" w:rsidR="009A17CE" w:rsidRPr="005C3D09" w:rsidRDefault="009A17CE" w:rsidP="005750DB">
            <w:pPr>
              <w:rPr>
                <w:rFonts w:ascii="Arial" w:hAnsi="Arial" w:cs="Arial"/>
                <w:sz w:val="16"/>
                <w:szCs w:val="16"/>
              </w:rPr>
            </w:pPr>
          </w:p>
        </w:tc>
        <w:tc>
          <w:tcPr>
            <w:tcW w:w="1364" w:type="dxa"/>
            <w:shd w:val="clear" w:color="auto" w:fill="auto"/>
            <w:noWrap/>
            <w:vAlign w:val="bottom"/>
            <w:hideMark/>
          </w:tcPr>
          <w:p w14:paraId="0528930F" w14:textId="77777777" w:rsidR="009A17CE" w:rsidRPr="005C3D09" w:rsidRDefault="009A17CE" w:rsidP="005750DB">
            <w:pPr>
              <w:rPr>
                <w:rFonts w:ascii="Arial" w:hAnsi="Arial" w:cs="Arial"/>
                <w:b/>
                <w:bCs/>
                <w:color w:val="000000"/>
                <w:sz w:val="16"/>
                <w:szCs w:val="16"/>
              </w:rPr>
            </w:pPr>
            <w:r w:rsidRPr="005C3D09">
              <w:rPr>
                <w:rFonts w:ascii="Arial" w:hAnsi="Arial" w:cs="Arial"/>
                <w:b/>
                <w:bCs/>
                <w:color w:val="000000"/>
                <w:sz w:val="16"/>
                <w:szCs w:val="16"/>
              </w:rPr>
              <w:t>VA 2024</w:t>
            </w:r>
          </w:p>
        </w:tc>
        <w:tc>
          <w:tcPr>
            <w:tcW w:w="1348" w:type="dxa"/>
            <w:shd w:val="clear" w:color="auto" w:fill="auto"/>
            <w:noWrap/>
            <w:vAlign w:val="bottom"/>
            <w:hideMark/>
          </w:tcPr>
          <w:p w14:paraId="009E4DCA" w14:textId="77777777" w:rsidR="009A17CE" w:rsidRPr="005C3D09" w:rsidRDefault="009A17CE" w:rsidP="005750DB">
            <w:pPr>
              <w:rPr>
                <w:rFonts w:ascii="Arial" w:hAnsi="Arial" w:cs="Arial"/>
                <w:b/>
                <w:bCs/>
                <w:color w:val="000000"/>
                <w:sz w:val="16"/>
                <w:szCs w:val="16"/>
              </w:rPr>
            </w:pPr>
            <w:r w:rsidRPr="005C3D09">
              <w:rPr>
                <w:rFonts w:ascii="Arial" w:hAnsi="Arial" w:cs="Arial"/>
                <w:b/>
                <w:bCs/>
                <w:color w:val="000000"/>
                <w:sz w:val="16"/>
                <w:szCs w:val="16"/>
              </w:rPr>
              <w:t>VA 2023</w:t>
            </w:r>
          </w:p>
        </w:tc>
        <w:tc>
          <w:tcPr>
            <w:tcW w:w="1437" w:type="dxa"/>
            <w:shd w:val="clear" w:color="auto" w:fill="auto"/>
            <w:noWrap/>
            <w:vAlign w:val="bottom"/>
            <w:hideMark/>
          </w:tcPr>
          <w:p w14:paraId="541AFFB8" w14:textId="77777777" w:rsidR="009A17CE" w:rsidRPr="005C3D09" w:rsidRDefault="009A17CE" w:rsidP="005750DB">
            <w:pPr>
              <w:rPr>
                <w:rFonts w:ascii="Arial" w:hAnsi="Arial" w:cs="Arial"/>
                <w:b/>
                <w:bCs/>
                <w:color w:val="000000"/>
                <w:sz w:val="16"/>
                <w:szCs w:val="16"/>
              </w:rPr>
            </w:pPr>
            <w:r w:rsidRPr="005C3D09">
              <w:rPr>
                <w:rFonts w:ascii="Arial" w:hAnsi="Arial" w:cs="Arial"/>
                <w:b/>
                <w:bCs/>
                <w:color w:val="000000"/>
                <w:sz w:val="16"/>
                <w:szCs w:val="16"/>
              </w:rPr>
              <w:t>diff. 23-24</w:t>
            </w:r>
          </w:p>
        </w:tc>
        <w:tc>
          <w:tcPr>
            <w:tcW w:w="899" w:type="dxa"/>
            <w:shd w:val="clear" w:color="auto" w:fill="auto"/>
            <w:noWrap/>
            <w:vAlign w:val="bottom"/>
            <w:hideMark/>
          </w:tcPr>
          <w:p w14:paraId="2AD11EAC" w14:textId="77777777" w:rsidR="009A17CE" w:rsidRPr="005C3D09" w:rsidRDefault="009A17CE" w:rsidP="005750DB">
            <w:pPr>
              <w:rPr>
                <w:rFonts w:ascii="Arial" w:hAnsi="Arial" w:cs="Arial"/>
                <w:b/>
                <w:bCs/>
                <w:color w:val="000000"/>
                <w:sz w:val="16"/>
                <w:szCs w:val="16"/>
              </w:rPr>
            </w:pPr>
            <w:r w:rsidRPr="005C3D09">
              <w:rPr>
                <w:rFonts w:ascii="Arial" w:hAnsi="Arial" w:cs="Arial"/>
                <w:b/>
                <w:bCs/>
                <w:color w:val="000000"/>
                <w:sz w:val="16"/>
                <w:szCs w:val="16"/>
              </w:rPr>
              <w:t>in %</w:t>
            </w:r>
          </w:p>
        </w:tc>
      </w:tr>
      <w:tr w:rsidR="009A17CE" w:rsidRPr="009A6DC4" w14:paraId="73136803" w14:textId="77777777" w:rsidTr="005750DB">
        <w:trPr>
          <w:trHeight w:val="320"/>
        </w:trPr>
        <w:tc>
          <w:tcPr>
            <w:tcW w:w="3823" w:type="dxa"/>
            <w:shd w:val="clear" w:color="auto" w:fill="F9F8D2"/>
            <w:noWrap/>
            <w:vAlign w:val="bottom"/>
            <w:hideMark/>
          </w:tcPr>
          <w:p w14:paraId="13D996A0" w14:textId="77777777" w:rsidR="009A17CE" w:rsidRPr="009A6DC4" w:rsidRDefault="009A17CE" w:rsidP="005750DB">
            <w:pPr>
              <w:rPr>
                <w:rFonts w:ascii="Arial" w:hAnsi="Arial" w:cs="Arial"/>
                <w:color w:val="000000"/>
              </w:rPr>
            </w:pPr>
            <w:r w:rsidRPr="009A6DC4">
              <w:rPr>
                <w:rFonts w:ascii="Arial" w:hAnsi="Arial" w:cs="Arial"/>
                <w:color w:val="000000"/>
              </w:rPr>
              <w:t>48 Wohnbauförderung</w:t>
            </w:r>
          </w:p>
        </w:tc>
        <w:tc>
          <w:tcPr>
            <w:tcW w:w="1364" w:type="dxa"/>
            <w:shd w:val="clear" w:color="auto" w:fill="F9F8D2"/>
            <w:noWrap/>
            <w:vAlign w:val="bottom"/>
            <w:hideMark/>
          </w:tcPr>
          <w:p w14:paraId="1D7433D8" w14:textId="77777777" w:rsidR="009A17CE" w:rsidRPr="009A6DC4" w:rsidRDefault="009A17CE" w:rsidP="005750DB">
            <w:pPr>
              <w:jc w:val="right"/>
              <w:rPr>
                <w:rFonts w:ascii="Arial" w:hAnsi="Arial" w:cs="Arial"/>
                <w:color w:val="000000"/>
              </w:rPr>
            </w:pPr>
            <w:r w:rsidRPr="009A6DC4">
              <w:rPr>
                <w:rFonts w:ascii="Arial" w:hAnsi="Arial" w:cs="Arial"/>
                <w:color w:val="000000"/>
              </w:rPr>
              <w:t>366.510.400</w:t>
            </w:r>
          </w:p>
        </w:tc>
        <w:tc>
          <w:tcPr>
            <w:tcW w:w="1348" w:type="dxa"/>
            <w:shd w:val="clear" w:color="auto" w:fill="F9F8D2"/>
            <w:noWrap/>
            <w:vAlign w:val="bottom"/>
            <w:hideMark/>
          </w:tcPr>
          <w:p w14:paraId="0DF5B665" w14:textId="77777777" w:rsidR="009A17CE" w:rsidRPr="009A6DC4" w:rsidRDefault="009A17CE" w:rsidP="005750DB">
            <w:pPr>
              <w:jc w:val="right"/>
              <w:rPr>
                <w:rFonts w:ascii="Arial" w:hAnsi="Arial" w:cs="Arial"/>
                <w:color w:val="000000"/>
              </w:rPr>
            </w:pPr>
            <w:r w:rsidRPr="009A6DC4">
              <w:rPr>
                <w:rFonts w:ascii="Arial" w:hAnsi="Arial" w:cs="Arial"/>
                <w:color w:val="000000"/>
              </w:rPr>
              <w:t>455.811.000</w:t>
            </w:r>
          </w:p>
        </w:tc>
        <w:tc>
          <w:tcPr>
            <w:tcW w:w="1437" w:type="dxa"/>
            <w:shd w:val="clear" w:color="auto" w:fill="F9F8D2"/>
            <w:noWrap/>
            <w:vAlign w:val="bottom"/>
            <w:hideMark/>
          </w:tcPr>
          <w:p w14:paraId="2662FAC3" w14:textId="77777777" w:rsidR="009A17CE" w:rsidRPr="009A6DC4" w:rsidRDefault="009A17CE" w:rsidP="005750DB">
            <w:pPr>
              <w:jc w:val="right"/>
              <w:rPr>
                <w:rFonts w:ascii="Arial" w:hAnsi="Arial" w:cs="Arial"/>
                <w:color w:val="000000"/>
              </w:rPr>
            </w:pPr>
            <w:r w:rsidRPr="009A6DC4">
              <w:rPr>
                <w:rFonts w:ascii="Arial" w:hAnsi="Arial" w:cs="Arial"/>
                <w:color w:val="000000"/>
              </w:rPr>
              <w:t>-89.300.600</w:t>
            </w:r>
          </w:p>
        </w:tc>
        <w:tc>
          <w:tcPr>
            <w:tcW w:w="899" w:type="dxa"/>
            <w:shd w:val="clear" w:color="auto" w:fill="F9F8D2"/>
            <w:noWrap/>
            <w:vAlign w:val="bottom"/>
            <w:hideMark/>
          </w:tcPr>
          <w:p w14:paraId="3E3ADBEA" w14:textId="77777777" w:rsidR="009A17CE" w:rsidRPr="009A6DC4" w:rsidRDefault="009A17CE" w:rsidP="005750DB">
            <w:pPr>
              <w:jc w:val="right"/>
              <w:rPr>
                <w:rFonts w:ascii="Arial" w:hAnsi="Arial" w:cs="Arial"/>
                <w:color w:val="000000"/>
              </w:rPr>
            </w:pPr>
            <w:r w:rsidRPr="009A6DC4">
              <w:rPr>
                <w:rFonts w:ascii="Arial" w:hAnsi="Arial" w:cs="Arial"/>
                <w:color w:val="000000"/>
              </w:rPr>
              <w:t>-20%</w:t>
            </w:r>
          </w:p>
        </w:tc>
      </w:tr>
      <w:tr w:rsidR="009A17CE" w:rsidRPr="009A6DC4" w14:paraId="082C99AE" w14:textId="77777777" w:rsidTr="005750DB">
        <w:trPr>
          <w:trHeight w:val="320"/>
        </w:trPr>
        <w:tc>
          <w:tcPr>
            <w:tcW w:w="3823" w:type="dxa"/>
            <w:shd w:val="clear" w:color="auto" w:fill="auto"/>
            <w:noWrap/>
            <w:vAlign w:val="bottom"/>
            <w:hideMark/>
          </w:tcPr>
          <w:p w14:paraId="4A8A2A48" w14:textId="77777777" w:rsidR="009A17CE" w:rsidRPr="009A6DC4" w:rsidRDefault="009A17CE" w:rsidP="005750DB">
            <w:pPr>
              <w:rPr>
                <w:rFonts w:ascii="Arial" w:hAnsi="Arial" w:cs="Arial"/>
                <w:color w:val="000000"/>
              </w:rPr>
            </w:pPr>
            <w:r w:rsidRPr="009A6DC4">
              <w:rPr>
                <w:rFonts w:ascii="Arial" w:hAnsi="Arial" w:cs="Arial"/>
                <w:color w:val="000000"/>
              </w:rPr>
              <w:t>482 Wohnbauförderung</w:t>
            </w:r>
          </w:p>
        </w:tc>
        <w:tc>
          <w:tcPr>
            <w:tcW w:w="1364" w:type="dxa"/>
            <w:shd w:val="clear" w:color="auto" w:fill="auto"/>
            <w:noWrap/>
            <w:vAlign w:val="bottom"/>
            <w:hideMark/>
          </w:tcPr>
          <w:p w14:paraId="3184FB47" w14:textId="77777777" w:rsidR="009A17CE" w:rsidRPr="009A6DC4" w:rsidRDefault="009A17CE" w:rsidP="005750DB">
            <w:pPr>
              <w:jc w:val="right"/>
              <w:rPr>
                <w:rFonts w:ascii="Arial" w:hAnsi="Arial" w:cs="Arial"/>
                <w:color w:val="000000"/>
              </w:rPr>
            </w:pPr>
            <w:r w:rsidRPr="009A6DC4">
              <w:rPr>
                <w:rFonts w:ascii="Arial" w:hAnsi="Arial" w:cs="Arial"/>
                <w:color w:val="000000"/>
              </w:rPr>
              <w:t>366.510.400</w:t>
            </w:r>
          </w:p>
        </w:tc>
        <w:tc>
          <w:tcPr>
            <w:tcW w:w="1348" w:type="dxa"/>
            <w:shd w:val="clear" w:color="auto" w:fill="auto"/>
            <w:noWrap/>
            <w:vAlign w:val="bottom"/>
            <w:hideMark/>
          </w:tcPr>
          <w:p w14:paraId="55A89494" w14:textId="77777777" w:rsidR="009A17CE" w:rsidRPr="009A6DC4" w:rsidRDefault="009A17CE" w:rsidP="005750DB">
            <w:pPr>
              <w:jc w:val="right"/>
              <w:rPr>
                <w:rFonts w:ascii="Arial" w:hAnsi="Arial" w:cs="Arial"/>
                <w:color w:val="000000"/>
              </w:rPr>
            </w:pPr>
            <w:r w:rsidRPr="009A6DC4">
              <w:rPr>
                <w:rFonts w:ascii="Arial" w:hAnsi="Arial" w:cs="Arial"/>
                <w:color w:val="000000"/>
              </w:rPr>
              <w:t>455.811.000</w:t>
            </w:r>
          </w:p>
        </w:tc>
        <w:tc>
          <w:tcPr>
            <w:tcW w:w="1437" w:type="dxa"/>
            <w:shd w:val="clear" w:color="auto" w:fill="auto"/>
            <w:noWrap/>
            <w:vAlign w:val="bottom"/>
            <w:hideMark/>
          </w:tcPr>
          <w:p w14:paraId="3F58DE0A" w14:textId="77777777" w:rsidR="009A17CE" w:rsidRPr="009A6DC4" w:rsidRDefault="009A17CE" w:rsidP="005750DB">
            <w:pPr>
              <w:jc w:val="right"/>
              <w:rPr>
                <w:rFonts w:ascii="Arial" w:hAnsi="Arial" w:cs="Arial"/>
                <w:color w:val="000000"/>
              </w:rPr>
            </w:pPr>
            <w:r w:rsidRPr="009A6DC4">
              <w:rPr>
                <w:rFonts w:ascii="Arial" w:hAnsi="Arial" w:cs="Arial"/>
                <w:color w:val="000000"/>
              </w:rPr>
              <w:t>-89.300.600</w:t>
            </w:r>
          </w:p>
        </w:tc>
        <w:tc>
          <w:tcPr>
            <w:tcW w:w="899" w:type="dxa"/>
            <w:shd w:val="clear" w:color="auto" w:fill="auto"/>
            <w:noWrap/>
            <w:vAlign w:val="bottom"/>
            <w:hideMark/>
          </w:tcPr>
          <w:p w14:paraId="4F4AEB2A" w14:textId="77777777" w:rsidR="009A17CE" w:rsidRPr="009A6DC4" w:rsidRDefault="009A17CE" w:rsidP="005750DB">
            <w:pPr>
              <w:jc w:val="right"/>
              <w:rPr>
                <w:rFonts w:ascii="Arial" w:hAnsi="Arial" w:cs="Arial"/>
                <w:color w:val="000000"/>
              </w:rPr>
            </w:pPr>
            <w:r w:rsidRPr="009A6DC4">
              <w:rPr>
                <w:rFonts w:ascii="Arial" w:hAnsi="Arial" w:cs="Arial"/>
                <w:color w:val="000000"/>
              </w:rPr>
              <w:t>-20%</w:t>
            </w:r>
          </w:p>
        </w:tc>
      </w:tr>
      <w:tr w:rsidR="009A17CE" w:rsidRPr="009A6DC4" w14:paraId="27D56B2C" w14:textId="77777777" w:rsidTr="005750DB">
        <w:trPr>
          <w:trHeight w:val="320"/>
        </w:trPr>
        <w:tc>
          <w:tcPr>
            <w:tcW w:w="3823" w:type="dxa"/>
            <w:shd w:val="clear" w:color="auto" w:fill="auto"/>
            <w:noWrap/>
            <w:vAlign w:val="bottom"/>
            <w:hideMark/>
          </w:tcPr>
          <w:p w14:paraId="32105F82" w14:textId="77777777" w:rsidR="009A17CE" w:rsidRPr="009A6DC4" w:rsidRDefault="009A17CE" w:rsidP="005750DB">
            <w:pPr>
              <w:rPr>
                <w:rFonts w:ascii="Arial" w:hAnsi="Arial" w:cs="Arial"/>
                <w:color w:val="000000"/>
              </w:rPr>
            </w:pPr>
            <w:r w:rsidRPr="009A6DC4">
              <w:rPr>
                <w:rFonts w:ascii="Arial" w:hAnsi="Arial" w:cs="Arial"/>
                <w:color w:val="000000"/>
              </w:rPr>
              <w:t>48210 Wohnbauförderung, Bund</w:t>
            </w:r>
          </w:p>
        </w:tc>
        <w:tc>
          <w:tcPr>
            <w:tcW w:w="1364" w:type="dxa"/>
            <w:shd w:val="clear" w:color="auto" w:fill="auto"/>
            <w:noWrap/>
            <w:vAlign w:val="bottom"/>
            <w:hideMark/>
          </w:tcPr>
          <w:p w14:paraId="392CDA04" w14:textId="77777777" w:rsidR="009A17CE" w:rsidRPr="009A6DC4" w:rsidRDefault="009A17CE" w:rsidP="005750DB">
            <w:pPr>
              <w:jc w:val="right"/>
              <w:rPr>
                <w:rFonts w:ascii="Arial" w:hAnsi="Arial" w:cs="Arial"/>
                <w:color w:val="000000"/>
              </w:rPr>
            </w:pPr>
            <w:r w:rsidRPr="009A6DC4">
              <w:rPr>
                <w:rFonts w:ascii="Arial" w:hAnsi="Arial" w:cs="Arial"/>
                <w:color w:val="000000"/>
              </w:rPr>
              <w:t>400</w:t>
            </w:r>
          </w:p>
        </w:tc>
        <w:tc>
          <w:tcPr>
            <w:tcW w:w="1348" w:type="dxa"/>
            <w:shd w:val="clear" w:color="auto" w:fill="auto"/>
            <w:noWrap/>
            <w:vAlign w:val="bottom"/>
            <w:hideMark/>
          </w:tcPr>
          <w:p w14:paraId="08B4927D" w14:textId="77777777" w:rsidR="009A17CE" w:rsidRPr="009A6DC4" w:rsidRDefault="009A17CE" w:rsidP="005750DB">
            <w:pPr>
              <w:jc w:val="right"/>
              <w:rPr>
                <w:rFonts w:ascii="Arial" w:hAnsi="Arial" w:cs="Arial"/>
                <w:color w:val="000000"/>
              </w:rPr>
            </w:pPr>
            <w:r w:rsidRPr="009A6DC4">
              <w:rPr>
                <w:rFonts w:ascii="Arial" w:hAnsi="Arial" w:cs="Arial"/>
                <w:color w:val="000000"/>
              </w:rPr>
              <w:t>0</w:t>
            </w:r>
          </w:p>
        </w:tc>
        <w:tc>
          <w:tcPr>
            <w:tcW w:w="1437" w:type="dxa"/>
            <w:shd w:val="clear" w:color="auto" w:fill="auto"/>
            <w:noWrap/>
            <w:vAlign w:val="bottom"/>
            <w:hideMark/>
          </w:tcPr>
          <w:p w14:paraId="12648062" w14:textId="77777777" w:rsidR="009A17CE" w:rsidRPr="009A6DC4" w:rsidRDefault="009A17CE" w:rsidP="005750DB">
            <w:pPr>
              <w:jc w:val="right"/>
              <w:rPr>
                <w:rFonts w:ascii="Arial" w:hAnsi="Arial" w:cs="Arial"/>
                <w:color w:val="000000"/>
              </w:rPr>
            </w:pPr>
            <w:r w:rsidRPr="009A6DC4">
              <w:rPr>
                <w:rFonts w:ascii="Arial" w:hAnsi="Arial" w:cs="Arial"/>
                <w:color w:val="000000"/>
              </w:rPr>
              <w:t>400</w:t>
            </w:r>
          </w:p>
        </w:tc>
        <w:tc>
          <w:tcPr>
            <w:tcW w:w="899" w:type="dxa"/>
            <w:shd w:val="clear" w:color="auto" w:fill="auto"/>
            <w:noWrap/>
            <w:vAlign w:val="bottom"/>
            <w:hideMark/>
          </w:tcPr>
          <w:p w14:paraId="349DE135" w14:textId="77777777" w:rsidR="009A17CE" w:rsidRPr="009A6DC4" w:rsidRDefault="009A17CE" w:rsidP="005750DB">
            <w:pPr>
              <w:jc w:val="right"/>
              <w:rPr>
                <w:rFonts w:ascii="Arial" w:hAnsi="Arial" w:cs="Arial"/>
                <w:color w:val="000000"/>
              </w:rPr>
            </w:pPr>
          </w:p>
        </w:tc>
      </w:tr>
      <w:tr w:rsidR="009A17CE" w:rsidRPr="009A6DC4" w14:paraId="29FBEAC0" w14:textId="77777777" w:rsidTr="005750DB">
        <w:trPr>
          <w:trHeight w:val="320"/>
        </w:trPr>
        <w:tc>
          <w:tcPr>
            <w:tcW w:w="3823" w:type="dxa"/>
            <w:shd w:val="clear" w:color="auto" w:fill="auto"/>
            <w:noWrap/>
            <w:vAlign w:val="bottom"/>
            <w:hideMark/>
          </w:tcPr>
          <w:p w14:paraId="417D4450" w14:textId="77777777" w:rsidR="009A17CE" w:rsidRPr="009A6DC4" w:rsidRDefault="009A17CE" w:rsidP="005750DB">
            <w:pPr>
              <w:rPr>
                <w:rFonts w:ascii="Arial" w:hAnsi="Arial" w:cs="Arial"/>
                <w:color w:val="000000"/>
              </w:rPr>
            </w:pPr>
            <w:r w:rsidRPr="009A6DC4">
              <w:rPr>
                <w:rFonts w:ascii="Arial" w:hAnsi="Arial" w:cs="Arial"/>
                <w:color w:val="000000"/>
              </w:rPr>
              <w:t>48211 Wohnbauzuschüsse (nicht rückzahlbar)</w:t>
            </w:r>
          </w:p>
        </w:tc>
        <w:tc>
          <w:tcPr>
            <w:tcW w:w="1364" w:type="dxa"/>
            <w:shd w:val="clear" w:color="auto" w:fill="auto"/>
            <w:noWrap/>
            <w:vAlign w:val="bottom"/>
            <w:hideMark/>
          </w:tcPr>
          <w:p w14:paraId="7DB275EB" w14:textId="77777777" w:rsidR="009A17CE" w:rsidRPr="009A6DC4" w:rsidRDefault="009A17CE" w:rsidP="005750DB">
            <w:pPr>
              <w:jc w:val="right"/>
              <w:rPr>
                <w:rFonts w:ascii="Arial" w:hAnsi="Arial" w:cs="Arial"/>
                <w:color w:val="000000"/>
              </w:rPr>
            </w:pPr>
            <w:r w:rsidRPr="009A6DC4">
              <w:rPr>
                <w:rFonts w:ascii="Arial" w:hAnsi="Arial" w:cs="Arial"/>
                <w:color w:val="000000"/>
              </w:rPr>
              <w:t>164.450.000</w:t>
            </w:r>
          </w:p>
        </w:tc>
        <w:tc>
          <w:tcPr>
            <w:tcW w:w="1348" w:type="dxa"/>
            <w:shd w:val="clear" w:color="auto" w:fill="auto"/>
            <w:noWrap/>
            <w:vAlign w:val="bottom"/>
            <w:hideMark/>
          </w:tcPr>
          <w:p w14:paraId="4262B5CD" w14:textId="77777777" w:rsidR="009A17CE" w:rsidRPr="009A6DC4" w:rsidRDefault="009A17CE" w:rsidP="005750DB">
            <w:pPr>
              <w:jc w:val="right"/>
              <w:rPr>
                <w:rFonts w:ascii="Arial" w:hAnsi="Arial" w:cs="Arial"/>
                <w:color w:val="000000"/>
              </w:rPr>
            </w:pPr>
            <w:r w:rsidRPr="009A6DC4">
              <w:rPr>
                <w:rFonts w:ascii="Arial" w:hAnsi="Arial" w:cs="Arial"/>
                <w:color w:val="000000"/>
              </w:rPr>
              <w:t>261.811.000</w:t>
            </w:r>
          </w:p>
        </w:tc>
        <w:tc>
          <w:tcPr>
            <w:tcW w:w="1437" w:type="dxa"/>
            <w:shd w:val="clear" w:color="auto" w:fill="auto"/>
            <w:noWrap/>
            <w:vAlign w:val="bottom"/>
            <w:hideMark/>
          </w:tcPr>
          <w:p w14:paraId="5FE55602" w14:textId="77777777" w:rsidR="009A17CE" w:rsidRPr="009A6DC4" w:rsidRDefault="009A17CE" w:rsidP="005750DB">
            <w:pPr>
              <w:jc w:val="right"/>
              <w:rPr>
                <w:rFonts w:ascii="Arial" w:hAnsi="Arial" w:cs="Arial"/>
                <w:color w:val="000000"/>
              </w:rPr>
            </w:pPr>
            <w:r w:rsidRPr="009A6DC4">
              <w:rPr>
                <w:rFonts w:ascii="Arial" w:hAnsi="Arial" w:cs="Arial"/>
                <w:color w:val="000000"/>
              </w:rPr>
              <w:t>-97.361.000</w:t>
            </w:r>
          </w:p>
        </w:tc>
        <w:tc>
          <w:tcPr>
            <w:tcW w:w="899" w:type="dxa"/>
            <w:shd w:val="clear" w:color="auto" w:fill="auto"/>
            <w:noWrap/>
            <w:vAlign w:val="bottom"/>
            <w:hideMark/>
          </w:tcPr>
          <w:p w14:paraId="7C217113" w14:textId="77777777" w:rsidR="009A17CE" w:rsidRPr="009A6DC4" w:rsidRDefault="009A17CE" w:rsidP="005750DB">
            <w:pPr>
              <w:jc w:val="right"/>
              <w:rPr>
                <w:rFonts w:ascii="Arial" w:hAnsi="Arial" w:cs="Arial"/>
                <w:color w:val="000000"/>
              </w:rPr>
            </w:pPr>
            <w:r w:rsidRPr="009A6DC4">
              <w:rPr>
                <w:rFonts w:ascii="Arial" w:hAnsi="Arial" w:cs="Arial"/>
                <w:color w:val="000000"/>
              </w:rPr>
              <w:t>-37%</w:t>
            </w:r>
          </w:p>
        </w:tc>
      </w:tr>
      <w:tr w:rsidR="009A17CE" w:rsidRPr="009A6DC4" w14:paraId="17D63D5E" w14:textId="77777777" w:rsidTr="005750DB">
        <w:trPr>
          <w:trHeight w:val="320"/>
        </w:trPr>
        <w:tc>
          <w:tcPr>
            <w:tcW w:w="3823" w:type="dxa"/>
            <w:shd w:val="clear" w:color="auto" w:fill="auto"/>
            <w:noWrap/>
            <w:vAlign w:val="bottom"/>
            <w:hideMark/>
          </w:tcPr>
          <w:p w14:paraId="4069A38A" w14:textId="77777777" w:rsidR="009A17CE" w:rsidRPr="009A6DC4" w:rsidRDefault="009A17CE" w:rsidP="005750DB">
            <w:pPr>
              <w:rPr>
                <w:rFonts w:ascii="Arial" w:hAnsi="Arial" w:cs="Arial"/>
                <w:color w:val="000000"/>
              </w:rPr>
            </w:pPr>
            <w:r w:rsidRPr="009A6DC4">
              <w:rPr>
                <w:rFonts w:ascii="Arial" w:hAnsi="Arial" w:cs="Arial"/>
                <w:color w:val="000000"/>
              </w:rPr>
              <w:t>48212 Wohnungsgemeinnützigkeit (Verwendung)</w:t>
            </w:r>
          </w:p>
        </w:tc>
        <w:tc>
          <w:tcPr>
            <w:tcW w:w="1364" w:type="dxa"/>
            <w:shd w:val="clear" w:color="auto" w:fill="auto"/>
            <w:noWrap/>
            <w:vAlign w:val="bottom"/>
            <w:hideMark/>
          </w:tcPr>
          <w:p w14:paraId="2FB3AC2B" w14:textId="77777777" w:rsidR="009A17CE" w:rsidRPr="009A6DC4" w:rsidRDefault="009A17CE" w:rsidP="005750DB">
            <w:pPr>
              <w:jc w:val="right"/>
              <w:rPr>
                <w:rFonts w:ascii="Arial" w:hAnsi="Arial" w:cs="Arial"/>
                <w:color w:val="000000"/>
              </w:rPr>
            </w:pPr>
            <w:r w:rsidRPr="009A6DC4">
              <w:rPr>
                <w:rFonts w:ascii="Arial" w:hAnsi="Arial" w:cs="Arial"/>
                <w:color w:val="000000"/>
              </w:rPr>
              <w:t>3.960.000</w:t>
            </w:r>
          </w:p>
        </w:tc>
        <w:tc>
          <w:tcPr>
            <w:tcW w:w="1348" w:type="dxa"/>
            <w:shd w:val="clear" w:color="auto" w:fill="auto"/>
            <w:noWrap/>
            <w:vAlign w:val="bottom"/>
            <w:hideMark/>
          </w:tcPr>
          <w:p w14:paraId="1AE0A898" w14:textId="77777777" w:rsidR="009A17CE" w:rsidRPr="009A6DC4" w:rsidRDefault="009A17CE" w:rsidP="005750DB">
            <w:pPr>
              <w:jc w:val="right"/>
              <w:rPr>
                <w:rFonts w:ascii="Arial" w:hAnsi="Arial" w:cs="Arial"/>
                <w:color w:val="000000"/>
              </w:rPr>
            </w:pPr>
            <w:r w:rsidRPr="009A6DC4">
              <w:rPr>
                <w:rFonts w:ascii="Arial" w:hAnsi="Arial" w:cs="Arial"/>
                <w:color w:val="000000"/>
              </w:rPr>
              <w:t>0</w:t>
            </w:r>
          </w:p>
        </w:tc>
        <w:tc>
          <w:tcPr>
            <w:tcW w:w="1437" w:type="dxa"/>
            <w:shd w:val="clear" w:color="auto" w:fill="auto"/>
            <w:noWrap/>
            <w:vAlign w:val="bottom"/>
            <w:hideMark/>
          </w:tcPr>
          <w:p w14:paraId="37B080D2" w14:textId="77777777" w:rsidR="009A17CE" w:rsidRPr="009A6DC4" w:rsidRDefault="009A17CE" w:rsidP="005750DB">
            <w:pPr>
              <w:jc w:val="right"/>
              <w:rPr>
                <w:rFonts w:ascii="Arial" w:hAnsi="Arial" w:cs="Arial"/>
                <w:color w:val="000000"/>
              </w:rPr>
            </w:pPr>
            <w:r w:rsidRPr="009A6DC4">
              <w:rPr>
                <w:rFonts w:ascii="Arial" w:hAnsi="Arial" w:cs="Arial"/>
                <w:color w:val="000000"/>
              </w:rPr>
              <w:t>3.960.000</w:t>
            </w:r>
          </w:p>
        </w:tc>
        <w:tc>
          <w:tcPr>
            <w:tcW w:w="899" w:type="dxa"/>
            <w:shd w:val="clear" w:color="auto" w:fill="auto"/>
            <w:noWrap/>
            <w:vAlign w:val="bottom"/>
            <w:hideMark/>
          </w:tcPr>
          <w:p w14:paraId="094ADB93" w14:textId="77777777" w:rsidR="009A17CE" w:rsidRPr="009A6DC4" w:rsidRDefault="009A17CE" w:rsidP="005750DB">
            <w:pPr>
              <w:jc w:val="right"/>
              <w:rPr>
                <w:rFonts w:ascii="Arial" w:hAnsi="Arial" w:cs="Arial"/>
                <w:color w:val="000000"/>
              </w:rPr>
            </w:pPr>
          </w:p>
        </w:tc>
      </w:tr>
      <w:tr w:rsidR="009A17CE" w:rsidRPr="009A6DC4" w14:paraId="7F22C0E2" w14:textId="77777777" w:rsidTr="005750DB">
        <w:trPr>
          <w:trHeight w:val="320"/>
        </w:trPr>
        <w:tc>
          <w:tcPr>
            <w:tcW w:w="3823" w:type="dxa"/>
            <w:shd w:val="clear" w:color="auto" w:fill="auto"/>
            <w:noWrap/>
            <w:vAlign w:val="bottom"/>
            <w:hideMark/>
          </w:tcPr>
          <w:p w14:paraId="10FD0403" w14:textId="77777777" w:rsidR="009A17CE" w:rsidRPr="009A6DC4" w:rsidRDefault="009A17CE" w:rsidP="005750DB">
            <w:pPr>
              <w:rPr>
                <w:rFonts w:ascii="Arial" w:hAnsi="Arial" w:cs="Arial"/>
                <w:color w:val="000000"/>
              </w:rPr>
            </w:pPr>
            <w:r w:rsidRPr="009A6DC4">
              <w:rPr>
                <w:rFonts w:ascii="Arial" w:hAnsi="Arial" w:cs="Arial"/>
                <w:color w:val="000000"/>
              </w:rPr>
              <w:t>48213 Wohnbauzuschüsse (rückzahlbar)</w:t>
            </w:r>
          </w:p>
        </w:tc>
        <w:tc>
          <w:tcPr>
            <w:tcW w:w="1364" w:type="dxa"/>
            <w:shd w:val="clear" w:color="auto" w:fill="auto"/>
            <w:noWrap/>
            <w:vAlign w:val="bottom"/>
            <w:hideMark/>
          </w:tcPr>
          <w:p w14:paraId="558F97CB" w14:textId="77777777" w:rsidR="009A17CE" w:rsidRPr="009A6DC4" w:rsidRDefault="009A17CE" w:rsidP="005750DB">
            <w:pPr>
              <w:jc w:val="right"/>
              <w:rPr>
                <w:rFonts w:ascii="Arial" w:hAnsi="Arial" w:cs="Arial"/>
                <w:color w:val="000000"/>
              </w:rPr>
            </w:pPr>
            <w:r w:rsidRPr="009A6DC4">
              <w:rPr>
                <w:rFonts w:ascii="Arial" w:hAnsi="Arial" w:cs="Arial"/>
                <w:color w:val="000000"/>
              </w:rPr>
              <w:t>68.000.000</w:t>
            </w:r>
          </w:p>
        </w:tc>
        <w:tc>
          <w:tcPr>
            <w:tcW w:w="1348" w:type="dxa"/>
            <w:shd w:val="clear" w:color="auto" w:fill="auto"/>
            <w:noWrap/>
            <w:vAlign w:val="bottom"/>
            <w:hideMark/>
          </w:tcPr>
          <w:p w14:paraId="00BF2323" w14:textId="77777777" w:rsidR="009A17CE" w:rsidRPr="009A6DC4" w:rsidRDefault="009A17CE" w:rsidP="005750DB">
            <w:pPr>
              <w:jc w:val="right"/>
              <w:rPr>
                <w:rFonts w:ascii="Arial" w:hAnsi="Arial" w:cs="Arial"/>
                <w:color w:val="000000"/>
              </w:rPr>
            </w:pPr>
            <w:r w:rsidRPr="009A6DC4">
              <w:rPr>
                <w:rFonts w:ascii="Arial" w:hAnsi="Arial" w:cs="Arial"/>
                <w:color w:val="000000"/>
              </w:rPr>
              <w:t>0</w:t>
            </w:r>
          </w:p>
        </w:tc>
        <w:tc>
          <w:tcPr>
            <w:tcW w:w="1437" w:type="dxa"/>
            <w:shd w:val="clear" w:color="auto" w:fill="auto"/>
            <w:noWrap/>
            <w:vAlign w:val="bottom"/>
            <w:hideMark/>
          </w:tcPr>
          <w:p w14:paraId="3FB3A7C4" w14:textId="77777777" w:rsidR="009A17CE" w:rsidRPr="009A6DC4" w:rsidRDefault="009A17CE" w:rsidP="005750DB">
            <w:pPr>
              <w:jc w:val="right"/>
              <w:rPr>
                <w:rFonts w:ascii="Arial" w:hAnsi="Arial" w:cs="Arial"/>
                <w:color w:val="000000"/>
              </w:rPr>
            </w:pPr>
            <w:r w:rsidRPr="009A6DC4">
              <w:rPr>
                <w:rFonts w:ascii="Arial" w:hAnsi="Arial" w:cs="Arial"/>
                <w:color w:val="000000"/>
              </w:rPr>
              <w:t>68.000.000</w:t>
            </w:r>
          </w:p>
        </w:tc>
        <w:tc>
          <w:tcPr>
            <w:tcW w:w="899" w:type="dxa"/>
            <w:shd w:val="clear" w:color="auto" w:fill="auto"/>
            <w:noWrap/>
            <w:vAlign w:val="bottom"/>
            <w:hideMark/>
          </w:tcPr>
          <w:p w14:paraId="6A37F0EE" w14:textId="77777777" w:rsidR="009A17CE" w:rsidRPr="009A6DC4" w:rsidRDefault="009A17CE" w:rsidP="005750DB">
            <w:pPr>
              <w:jc w:val="right"/>
              <w:rPr>
                <w:rFonts w:ascii="Arial" w:hAnsi="Arial" w:cs="Arial"/>
                <w:color w:val="000000"/>
              </w:rPr>
            </w:pPr>
          </w:p>
        </w:tc>
      </w:tr>
      <w:tr w:rsidR="009A17CE" w:rsidRPr="009A6DC4" w14:paraId="26E24CA8" w14:textId="77777777" w:rsidTr="005750DB">
        <w:trPr>
          <w:trHeight w:val="320"/>
        </w:trPr>
        <w:tc>
          <w:tcPr>
            <w:tcW w:w="3823" w:type="dxa"/>
            <w:shd w:val="clear" w:color="auto" w:fill="auto"/>
            <w:noWrap/>
            <w:vAlign w:val="bottom"/>
            <w:hideMark/>
          </w:tcPr>
          <w:p w14:paraId="734EA9EA" w14:textId="77777777" w:rsidR="009A17CE" w:rsidRPr="009A6DC4" w:rsidRDefault="009A17CE" w:rsidP="005750DB">
            <w:pPr>
              <w:rPr>
                <w:rFonts w:ascii="Arial" w:hAnsi="Arial" w:cs="Arial"/>
                <w:color w:val="000000"/>
              </w:rPr>
            </w:pPr>
            <w:r w:rsidRPr="009A6DC4">
              <w:rPr>
                <w:rFonts w:ascii="Arial" w:hAnsi="Arial" w:cs="Arial"/>
                <w:color w:val="000000"/>
              </w:rPr>
              <w:t>48214 Wohnbeihilfen</w:t>
            </w:r>
          </w:p>
        </w:tc>
        <w:tc>
          <w:tcPr>
            <w:tcW w:w="1364" w:type="dxa"/>
            <w:shd w:val="clear" w:color="auto" w:fill="auto"/>
            <w:noWrap/>
            <w:vAlign w:val="bottom"/>
            <w:hideMark/>
          </w:tcPr>
          <w:p w14:paraId="2BD9741D" w14:textId="77777777" w:rsidR="009A17CE" w:rsidRPr="009A6DC4" w:rsidRDefault="009A17CE" w:rsidP="005750DB">
            <w:pPr>
              <w:jc w:val="right"/>
              <w:rPr>
                <w:rFonts w:ascii="Arial" w:hAnsi="Arial" w:cs="Arial"/>
                <w:color w:val="000000"/>
              </w:rPr>
            </w:pPr>
            <w:r w:rsidRPr="009A6DC4">
              <w:rPr>
                <w:rFonts w:ascii="Arial" w:hAnsi="Arial" w:cs="Arial"/>
                <w:color w:val="000000"/>
              </w:rPr>
              <w:t>40.000.000</w:t>
            </w:r>
          </w:p>
        </w:tc>
        <w:tc>
          <w:tcPr>
            <w:tcW w:w="1348" w:type="dxa"/>
            <w:shd w:val="clear" w:color="auto" w:fill="auto"/>
            <w:noWrap/>
            <w:vAlign w:val="bottom"/>
            <w:hideMark/>
          </w:tcPr>
          <w:p w14:paraId="50484AFC" w14:textId="77777777" w:rsidR="009A17CE" w:rsidRPr="009A6DC4" w:rsidRDefault="009A17CE" w:rsidP="005750DB">
            <w:pPr>
              <w:jc w:val="right"/>
              <w:rPr>
                <w:rFonts w:ascii="Arial" w:hAnsi="Arial" w:cs="Arial"/>
                <w:color w:val="000000"/>
              </w:rPr>
            </w:pPr>
            <w:r w:rsidRPr="009A6DC4">
              <w:rPr>
                <w:rFonts w:ascii="Arial" w:hAnsi="Arial" w:cs="Arial"/>
                <w:color w:val="000000"/>
              </w:rPr>
              <w:t>35.000.000</w:t>
            </w:r>
          </w:p>
        </w:tc>
        <w:tc>
          <w:tcPr>
            <w:tcW w:w="1437" w:type="dxa"/>
            <w:shd w:val="clear" w:color="auto" w:fill="auto"/>
            <w:noWrap/>
            <w:vAlign w:val="bottom"/>
            <w:hideMark/>
          </w:tcPr>
          <w:p w14:paraId="00718635" w14:textId="77777777" w:rsidR="009A17CE" w:rsidRPr="009A6DC4" w:rsidRDefault="009A17CE" w:rsidP="005750DB">
            <w:pPr>
              <w:jc w:val="right"/>
              <w:rPr>
                <w:rFonts w:ascii="Arial" w:hAnsi="Arial" w:cs="Arial"/>
                <w:color w:val="000000"/>
              </w:rPr>
            </w:pPr>
            <w:r w:rsidRPr="009A6DC4">
              <w:rPr>
                <w:rFonts w:ascii="Arial" w:hAnsi="Arial" w:cs="Arial"/>
                <w:color w:val="000000"/>
              </w:rPr>
              <w:t>5.000.000</w:t>
            </w:r>
          </w:p>
        </w:tc>
        <w:tc>
          <w:tcPr>
            <w:tcW w:w="899" w:type="dxa"/>
            <w:shd w:val="clear" w:color="auto" w:fill="auto"/>
            <w:noWrap/>
            <w:vAlign w:val="bottom"/>
            <w:hideMark/>
          </w:tcPr>
          <w:p w14:paraId="1E365EDF" w14:textId="77777777" w:rsidR="009A17CE" w:rsidRPr="009A6DC4" w:rsidRDefault="009A17CE" w:rsidP="005750DB">
            <w:pPr>
              <w:jc w:val="right"/>
              <w:rPr>
                <w:rFonts w:ascii="Arial" w:hAnsi="Arial" w:cs="Arial"/>
                <w:color w:val="000000"/>
              </w:rPr>
            </w:pPr>
            <w:r w:rsidRPr="009A6DC4">
              <w:rPr>
                <w:rFonts w:ascii="Arial" w:hAnsi="Arial" w:cs="Arial"/>
                <w:color w:val="000000"/>
              </w:rPr>
              <w:t>14%</w:t>
            </w:r>
          </w:p>
        </w:tc>
      </w:tr>
      <w:tr w:rsidR="009A17CE" w:rsidRPr="009A6DC4" w14:paraId="10030F54" w14:textId="77777777" w:rsidTr="005750DB">
        <w:trPr>
          <w:trHeight w:val="320"/>
        </w:trPr>
        <w:tc>
          <w:tcPr>
            <w:tcW w:w="3823" w:type="dxa"/>
            <w:shd w:val="clear" w:color="auto" w:fill="auto"/>
            <w:noWrap/>
            <w:vAlign w:val="bottom"/>
            <w:hideMark/>
          </w:tcPr>
          <w:p w14:paraId="52A39E7C" w14:textId="77777777" w:rsidR="009A17CE" w:rsidRPr="009A6DC4" w:rsidRDefault="009A17CE" w:rsidP="005750DB">
            <w:pPr>
              <w:rPr>
                <w:rFonts w:ascii="Arial" w:hAnsi="Arial" w:cs="Arial"/>
                <w:color w:val="000000"/>
              </w:rPr>
            </w:pPr>
            <w:r w:rsidRPr="009A6DC4">
              <w:rPr>
                <w:rFonts w:ascii="Arial" w:hAnsi="Arial" w:cs="Arial"/>
                <w:color w:val="000000"/>
              </w:rPr>
              <w:t>48215 Wohnbauzuschüsse</w:t>
            </w:r>
          </w:p>
        </w:tc>
        <w:tc>
          <w:tcPr>
            <w:tcW w:w="1364" w:type="dxa"/>
            <w:shd w:val="clear" w:color="auto" w:fill="auto"/>
            <w:noWrap/>
            <w:vAlign w:val="bottom"/>
            <w:hideMark/>
          </w:tcPr>
          <w:p w14:paraId="6A03EE3F" w14:textId="77777777" w:rsidR="009A17CE" w:rsidRPr="009A6DC4" w:rsidRDefault="009A17CE" w:rsidP="005750DB">
            <w:pPr>
              <w:jc w:val="right"/>
              <w:rPr>
                <w:rFonts w:ascii="Arial" w:hAnsi="Arial" w:cs="Arial"/>
                <w:color w:val="000000"/>
              </w:rPr>
            </w:pPr>
            <w:r w:rsidRPr="009A6DC4">
              <w:rPr>
                <w:rFonts w:ascii="Arial" w:hAnsi="Arial" w:cs="Arial"/>
                <w:color w:val="000000"/>
              </w:rPr>
              <w:t>0</w:t>
            </w:r>
          </w:p>
        </w:tc>
        <w:tc>
          <w:tcPr>
            <w:tcW w:w="1348" w:type="dxa"/>
            <w:shd w:val="clear" w:color="auto" w:fill="auto"/>
            <w:noWrap/>
            <w:vAlign w:val="bottom"/>
            <w:hideMark/>
          </w:tcPr>
          <w:p w14:paraId="33D7DE53" w14:textId="77777777" w:rsidR="009A17CE" w:rsidRPr="009A6DC4" w:rsidRDefault="009A17CE" w:rsidP="005750DB">
            <w:pPr>
              <w:jc w:val="right"/>
              <w:rPr>
                <w:rFonts w:ascii="Arial" w:hAnsi="Arial" w:cs="Arial"/>
                <w:color w:val="000000"/>
              </w:rPr>
            </w:pPr>
            <w:r w:rsidRPr="009A6DC4">
              <w:rPr>
                <w:rFonts w:ascii="Arial" w:hAnsi="Arial" w:cs="Arial"/>
                <w:color w:val="000000"/>
              </w:rPr>
              <w:t>72.000.000</w:t>
            </w:r>
          </w:p>
        </w:tc>
        <w:tc>
          <w:tcPr>
            <w:tcW w:w="1437" w:type="dxa"/>
            <w:shd w:val="clear" w:color="auto" w:fill="auto"/>
            <w:noWrap/>
            <w:vAlign w:val="bottom"/>
            <w:hideMark/>
          </w:tcPr>
          <w:p w14:paraId="7B78DE28" w14:textId="77777777" w:rsidR="009A17CE" w:rsidRPr="009A6DC4" w:rsidRDefault="009A17CE" w:rsidP="005750DB">
            <w:pPr>
              <w:jc w:val="right"/>
              <w:rPr>
                <w:rFonts w:ascii="Arial" w:hAnsi="Arial" w:cs="Arial"/>
                <w:color w:val="000000"/>
              </w:rPr>
            </w:pPr>
            <w:r w:rsidRPr="009A6DC4">
              <w:rPr>
                <w:rFonts w:ascii="Arial" w:hAnsi="Arial" w:cs="Arial"/>
                <w:color w:val="000000"/>
              </w:rPr>
              <w:t>-72.000.000</w:t>
            </w:r>
          </w:p>
        </w:tc>
        <w:tc>
          <w:tcPr>
            <w:tcW w:w="899" w:type="dxa"/>
            <w:shd w:val="clear" w:color="auto" w:fill="auto"/>
            <w:noWrap/>
            <w:vAlign w:val="bottom"/>
            <w:hideMark/>
          </w:tcPr>
          <w:p w14:paraId="66EF93B9" w14:textId="77777777" w:rsidR="009A17CE" w:rsidRPr="009A6DC4" w:rsidRDefault="009A17CE" w:rsidP="005750DB">
            <w:pPr>
              <w:jc w:val="right"/>
              <w:rPr>
                <w:rFonts w:ascii="Arial" w:hAnsi="Arial" w:cs="Arial"/>
                <w:color w:val="000000"/>
              </w:rPr>
            </w:pPr>
            <w:r w:rsidRPr="009A6DC4">
              <w:rPr>
                <w:rFonts w:ascii="Arial" w:hAnsi="Arial" w:cs="Arial"/>
                <w:color w:val="000000"/>
              </w:rPr>
              <w:t>-100%</w:t>
            </w:r>
          </w:p>
        </w:tc>
      </w:tr>
      <w:tr w:rsidR="009A17CE" w:rsidRPr="009A6DC4" w14:paraId="2A885F49" w14:textId="77777777" w:rsidTr="005750DB">
        <w:trPr>
          <w:trHeight w:val="320"/>
        </w:trPr>
        <w:tc>
          <w:tcPr>
            <w:tcW w:w="3823" w:type="dxa"/>
            <w:shd w:val="clear" w:color="auto" w:fill="auto"/>
            <w:noWrap/>
            <w:vAlign w:val="bottom"/>
            <w:hideMark/>
          </w:tcPr>
          <w:p w14:paraId="606FCB4D" w14:textId="77777777" w:rsidR="009A17CE" w:rsidRPr="009A6DC4" w:rsidRDefault="009A17CE" w:rsidP="005750DB">
            <w:pPr>
              <w:rPr>
                <w:rFonts w:ascii="Arial" w:hAnsi="Arial" w:cs="Arial"/>
                <w:color w:val="000000"/>
              </w:rPr>
            </w:pPr>
            <w:r w:rsidRPr="009A6DC4">
              <w:rPr>
                <w:rFonts w:ascii="Arial" w:hAnsi="Arial" w:cs="Arial"/>
                <w:color w:val="000000"/>
              </w:rPr>
              <w:t>48216 Wohnbaudarlehen</w:t>
            </w:r>
          </w:p>
        </w:tc>
        <w:tc>
          <w:tcPr>
            <w:tcW w:w="1364" w:type="dxa"/>
            <w:shd w:val="clear" w:color="auto" w:fill="auto"/>
            <w:noWrap/>
            <w:vAlign w:val="bottom"/>
            <w:hideMark/>
          </w:tcPr>
          <w:p w14:paraId="3BD7353F" w14:textId="77777777" w:rsidR="009A17CE" w:rsidRPr="009A6DC4" w:rsidRDefault="009A17CE" w:rsidP="005750DB">
            <w:pPr>
              <w:jc w:val="right"/>
              <w:rPr>
                <w:rFonts w:ascii="Arial" w:hAnsi="Arial" w:cs="Arial"/>
                <w:color w:val="000000"/>
              </w:rPr>
            </w:pPr>
            <w:r w:rsidRPr="009A6DC4">
              <w:rPr>
                <w:rFonts w:ascii="Arial" w:hAnsi="Arial" w:cs="Arial"/>
                <w:color w:val="000000"/>
              </w:rPr>
              <w:t>0</w:t>
            </w:r>
          </w:p>
        </w:tc>
        <w:tc>
          <w:tcPr>
            <w:tcW w:w="1348" w:type="dxa"/>
            <w:shd w:val="clear" w:color="auto" w:fill="auto"/>
            <w:noWrap/>
            <w:vAlign w:val="bottom"/>
            <w:hideMark/>
          </w:tcPr>
          <w:p w14:paraId="4A22776B" w14:textId="77777777" w:rsidR="009A17CE" w:rsidRPr="009A6DC4" w:rsidRDefault="009A17CE" w:rsidP="005750DB">
            <w:pPr>
              <w:jc w:val="right"/>
              <w:rPr>
                <w:rFonts w:ascii="Arial" w:hAnsi="Arial" w:cs="Arial"/>
                <w:color w:val="000000"/>
              </w:rPr>
            </w:pPr>
            <w:r w:rsidRPr="009A6DC4">
              <w:rPr>
                <w:rFonts w:ascii="Arial" w:hAnsi="Arial" w:cs="Arial"/>
                <w:color w:val="000000"/>
              </w:rPr>
              <w:t>0</w:t>
            </w:r>
          </w:p>
        </w:tc>
        <w:tc>
          <w:tcPr>
            <w:tcW w:w="1437" w:type="dxa"/>
            <w:shd w:val="clear" w:color="auto" w:fill="auto"/>
            <w:noWrap/>
            <w:vAlign w:val="bottom"/>
            <w:hideMark/>
          </w:tcPr>
          <w:p w14:paraId="274C334B" w14:textId="77777777" w:rsidR="009A17CE" w:rsidRPr="009A6DC4" w:rsidRDefault="009A17CE" w:rsidP="005750DB">
            <w:pPr>
              <w:jc w:val="right"/>
              <w:rPr>
                <w:rFonts w:ascii="Arial" w:hAnsi="Arial" w:cs="Arial"/>
                <w:color w:val="000000"/>
              </w:rPr>
            </w:pPr>
            <w:r w:rsidRPr="009A6DC4">
              <w:rPr>
                <w:rFonts w:ascii="Arial" w:hAnsi="Arial" w:cs="Arial"/>
                <w:color w:val="000000"/>
              </w:rPr>
              <w:t>0</w:t>
            </w:r>
          </w:p>
        </w:tc>
        <w:tc>
          <w:tcPr>
            <w:tcW w:w="899" w:type="dxa"/>
            <w:shd w:val="clear" w:color="auto" w:fill="auto"/>
            <w:noWrap/>
            <w:vAlign w:val="bottom"/>
            <w:hideMark/>
          </w:tcPr>
          <w:p w14:paraId="31587B8B" w14:textId="77777777" w:rsidR="009A17CE" w:rsidRPr="009A6DC4" w:rsidRDefault="009A17CE" w:rsidP="005750DB">
            <w:pPr>
              <w:jc w:val="right"/>
              <w:rPr>
                <w:rFonts w:ascii="Arial" w:hAnsi="Arial" w:cs="Arial"/>
                <w:color w:val="000000"/>
              </w:rPr>
            </w:pPr>
          </w:p>
        </w:tc>
      </w:tr>
      <w:tr w:rsidR="009A17CE" w:rsidRPr="009A6DC4" w14:paraId="01533D51" w14:textId="77777777" w:rsidTr="005750DB">
        <w:trPr>
          <w:trHeight w:val="320"/>
        </w:trPr>
        <w:tc>
          <w:tcPr>
            <w:tcW w:w="3823" w:type="dxa"/>
            <w:shd w:val="clear" w:color="auto" w:fill="auto"/>
            <w:noWrap/>
            <w:vAlign w:val="bottom"/>
            <w:hideMark/>
          </w:tcPr>
          <w:p w14:paraId="4CBC3A8D" w14:textId="77777777" w:rsidR="009A17CE" w:rsidRPr="009A6DC4" w:rsidRDefault="009A17CE" w:rsidP="005750DB">
            <w:pPr>
              <w:rPr>
                <w:rFonts w:ascii="Arial" w:hAnsi="Arial" w:cs="Arial"/>
                <w:color w:val="000000"/>
              </w:rPr>
            </w:pPr>
            <w:r w:rsidRPr="009A6DC4">
              <w:rPr>
                <w:rFonts w:ascii="Arial" w:hAnsi="Arial" w:cs="Arial"/>
                <w:color w:val="000000"/>
              </w:rPr>
              <w:t>48218 Wohnhaussanierung</w:t>
            </w:r>
          </w:p>
        </w:tc>
        <w:tc>
          <w:tcPr>
            <w:tcW w:w="1364" w:type="dxa"/>
            <w:shd w:val="clear" w:color="auto" w:fill="auto"/>
            <w:noWrap/>
            <w:vAlign w:val="bottom"/>
            <w:hideMark/>
          </w:tcPr>
          <w:p w14:paraId="6C1F148D" w14:textId="77777777" w:rsidR="009A17CE" w:rsidRPr="009A6DC4" w:rsidRDefault="009A17CE" w:rsidP="005750DB">
            <w:pPr>
              <w:jc w:val="right"/>
              <w:rPr>
                <w:rFonts w:ascii="Arial" w:hAnsi="Arial" w:cs="Arial"/>
                <w:color w:val="000000"/>
              </w:rPr>
            </w:pPr>
            <w:r w:rsidRPr="009A6DC4">
              <w:rPr>
                <w:rFonts w:ascii="Arial" w:hAnsi="Arial" w:cs="Arial"/>
                <w:color w:val="000000"/>
              </w:rPr>
              <w:t>85.000.000</w:t>
            </w:r>
          </w:p>
        </w:tc>
        <w:tc>
          <w:tcPr>
            <w:tcW w:w="1348" w:type="dxa"/>
            <w:shd w:val="clear" w:color="auto" w:fill="auto"/>
            <w:noWrap/>
            <w:vAlign w:val="bottom"/>
            <w:hideMark/>
          </w:tcPr>
          <w:p w14:paraId="7F64638C" w14:textId="77777777" w:rsidR="009A17CE" w:rsidRPr="009A6DC4" w:rsidRDefault="009A17CE" w:rsidP="005750DB">
            <w:pPr>
              <w:jc w:val="right"/>
              <w:rPr>
                <w:rFonts w:ascii="Arial" w:hAnsi="Arial" w:cs="Arial"/>
                <w:color w:val="000000"/>
              </w:rPr>
            </w:pPr>
            <w:r w:rsidRPr="009A6DC4">
              <w:rPr>
                <w:rFonts w:ascii="Arial" w:hAnsi="Arial" w:cs="Arial"/>
                <w:color w:val="000000"/>
              </w:rPr>
              <w:t>87.000.000</w:t>
            </w:r>
          </w:p>
        </w:tc>
        <w:tc>
          <w:tcPr>
            <w:tcW w:w="1437" w:type="dxa"/>
            <w:shd w:val="clear" w:color="auto" w:fill="auto"/>
            <w:noWrap/>
            <w:vAlign w:val="bottom"/>
            <w:hideMark/>
          </w:tcPr>
          <w:p w14:paraId="494BFBA7" w14:textId="77777777" w:rsidR="009A17CE" w:rsidRPr="009A6DC4" w:rsidRDefault="009A17CE" w:rsidP="005750DB">
            <w:pPr>
              <w:jc w:val="right"/>
              <w:rPr>
                <w:rFonts w:ascii="Arial" w:hAnsi="Arial" w:cs="Arial"/>
                <w:color w:val="000000"/>
              </w:rPr>
            </w:pPr>
            <w:r w:rsidRPr="009A6DC4">
              <w:rPr>
                <w:rFonts w:ascii="Arial" w:hAnsi="Arial" w:cs="Arial"/>
                <w:color w:val="000000"/>
              </w:rPr>
              <w:t>-2.000.000</w:t>
            </w:r>
          </w:p>
        </w:tc>
        <w:tc>
          <w:tcPr>
            <w:tcW w:w="899" w:type="dxa"/>
            <w:shd w:val="clear" w:color="auto" w:fill="auto"/>
            <w:noWrap/>
            <w:vAlign w:val="bottom"/>
            <w:hideMark/>
          </w:tcPr>
          <w:p w14:paraId="03021102" w14:textId="77777777" w:rsidR="009A17CE" w:rsidRPr="009A6DC4" w:rsidRDefault="009A17CE" w:rsidP="005750DB">
            <w:pPr>
              <w:jc w:val="right"/>
              <w:rPr>
                <w:rFonts w:ascii="Arial" w:hAnsi="Arial" w:cs="Arial"/>
                <w:color w:val="000000"/>
              </w:rPr>
            </w:pPr>
            <w:r w:rsidRPr="009A6DC4">
              <w:rPr>
                <w:rFonts w:ascii="Arial" w:hAnsi="Arial" w:cs="Arial"/>
                <w:color w:val="000000"/>
              </w:rPr>
              <w:t>-2%</w:t>
            </w:r>
          </w:p>
        </w:tc>
      </w:tr>
      <w:tr w:rsidR="009A17CE" w:rsidRPr="009A6DC4" w14:paraId="3D5C0E4B" w14:textId="77777777" w:rsidTr="005750DB">
        <w:trPr>
          <w:trHeight w:val="320"/>
        </w:trPr>
        <w:tc>
          <w:tcPr>
            <w:tcW w:w="3823" w:type="dxa"/>
            <w:shd w:val="clear" w:color="auto" w:fill="auto"/>
            <w:noWrap/>
            <w:vAlign w:val="bottom"/>
            <w:hideMark/>
          </w:tcPr>
          <w:p w14:paraId="7163F9C2" w14:textId="77777777" w:rsidR="009A17CE" w:rsidRPr="009A6DC4" w:rsidRDefault="009A17CE" w:rsidP="005750DB">
            <w:pPr>
              <w:rPr>
                <w:rFonts w:ascii="Arial" w:hAnsi="Arial" w:cs="Arial"/>
                <w:color w:val="000000"/>
              </w:rPr>
            </w:pPr>
            <w:r w:rsidRPr="009A6DC4">
              <w:rPr>
                <w:rFonts w:ascii="Arial" w:hAnsi="Arial" w:cs="Arial"/>
                <w:color w:val="000000"/>
              </w:rPr>
              <w:t>48219 Wohnhaussanierung Bund</w:t>
            </w:r>
          </w:p>
        </w:tc>
        <w:tc>
          <w:tcPr>
            <w:tcW w:w="1364" w:type="dxa"/>
            <w:shd w:val="clear" w:color="auto" w:fill="auto"/>
            <w:noWrap/>
            <w:vAlign w:val="bottom"/>
            <w:hideMark/>
          </w:tcPr>
          <w:p w14:paraId="23717432" w14:textId="77777777" w:rsidR="009A17CE" w:rsidRPr="009A6DC4" w:rsidRDefault="009A17CE" w:rsidP="005750DB">
            <w:pPr>
              <w:jc w:val="right"/>
              <w:rPr>
                <w:rFonts w:ascii="Arial" w:hAnsi="Arial" w:cs="Arial"/>
                <w:color w:val="000000"/>
              </w:rPr>
            </w:pPr>
            <w:r w:rsidRPr="009A6DC4">
              <w:rPr>
                <w:rFonts w:ascii="Arial" w:hAnsi="Arial" w:cs="Arial"/>
                <w:color w:val="000000"/>
              </w:rPr>
              <w:t>5.100.000</w:t>
            </w:r>
          </w:p>
        </w:tc>
        <w:tc>
          <w:tcPr>
            <w:tcW w:w="1348" w:type="dxa"/>
            <w:shd w:val="clear" w:color="auto" w:fill="auto"/>
            <w:noWrap/>
            <w:vAlign w:val="bottom"/>
            <w:hideMark/>
          </w:tcPr>
          <w:p w14:paraId="52835809" w14:textId="77777777" w:rsidR="009A17CE" w:rsidRPr="009A6DC4" w:rsidRDefault="009A17CE" w:rsidP="005750DB">
            <w:pPr>
              <w:jc w:val="right"/>
              <w:rPr>
                <w:rFonts w:ascii="Arial" w:hAnsi="Arial" w:cs="Arial"/>
                <w:color w:val="000000"/>
              </w:rPr>
            </w:pPr>
            <w:r w:rsidRPr="009A6DC4">
              <w:rPr>
                <w:rFonts w:ascii="Arial" w:hAnsi="Arial" w:cs="Arial"/>
                <w:color w:val="000000"/>
              </w:rPr>
              <w:t>0</w:t>
            </w:r>
          </w:p>
        </w:tc>
        <w:tc>
          <w:tcPr>
            <w:tcW w:w="1437" w:type="dxa"/>
            <w:shd w:val="clear" w:color="auto" w:fill="auto"/>
            <w:noWrap/>
            <w:vAlign w:val="bottom"/>
            <w:hideMark/>
          </w:tcPr>
          <w:p w14:paraId="13D5421D" w14:textId="77777777" w:rsidR="009A17CE" w:rsidRPr="009A6DC4" w:rsidRDefault="009A17CE" w:rsidP="005750DB">
            <w:pPr>
              <w:jc w:val="right"/>
              <w:rPr>
                <w:rFonts w:ascii="Arial" w:hAnsi="Arial" w:cs="Arial"/>
                <w:color w:val="000000"/>
              </w:rPr>
            </w:pPr>
            <w:r w:rsidRPr="009A6DC4">
              <w:rPr>
                <w:rFonts w:ascii="Arial" w:hAnsi="Arial" w:cs="Arial"/>
                <w:color w:val="000000"/>
              </w:rPr>
              <w:t>5.100.000</w:t>
            </w:r>
          </w:p>
        </w:tc>
        <w:tc>
          <w:tcPr>
            <w:tcW w:w="899" w:type="dxa"/>
            <w:shd w:val="clear" w:color="auto" w:fill="auto"/>
            <w:noWrap/>
            <w:vAlign w:val="bottom"/>
            <w:hideMark/>
          </w:tcPr>
          <w:p w14:paraId="77561B23" w14:textId="77777777" w:rsidR="009A17CE" w:rsidRPr="009A6DC4" w:rsidRDefault="009A17CE" w:rsidP="005750DB">
            <w:pPr>
              <w:jc w:val="right"/>
              <w:rPr>
                <w:rFonts w:ascii="Arial" w:hAnsi="Arial" w:cs="Arial"/>
                <w:color w:val="000000"/>
              </w:rPr>
            </w:pPr>
          </w:p>
        </w:tc>
      </w:tr>
    </w:tbl>
    <w:p w14:paraId="0F9D2166" w14:textId="77777777" w:rsidR="009A17CE" w:rsidRDefault="009A17CE" w:rsidP="009A17CE">
      <w:pPr>
        <w:rPr>
          <w:rFonts w:ascii="Arial" w:hAnsi="Arial" w:cs="Arial"/>
          <w:lang w:val="de-DE"/>
        </w:rPr>
      </w:pPr>
    </w:p>
    <w:p w14:paraId="1A170AD7" w14:textId="77777777" w:rsidR="009A17CE" w:rsidRDefault="009A17CE" w:rsidP="009A17CE">
      <w:pPr>
        <w:rPr>
          <w:rFonts w:ascii="Arial" w:hAnsi="Arial" w:cs="Arial"/>
          <w:lang w:val="de-DE"/>
        </w:rPr>
      </w:pPr>
    </w:p>
    <w:p w14:paraId="0107AA35" w14:textId="77777777" w:rsidR="009A17CE" w:rsidRPr="009A6DC4" w:rsidRDefault="009A17CE" w:rsidP="009A17CE">
      <w:pPr>
        <w:numPr>
          <w:ilvl w:val="0"/>
          <w:numId w:val="1"/>
        </w:numPr>
        <w:jc w:val="both"/>
        <w:rPr>
          <w:rFonts w:ascii="Arial" w:hAnsi="Arial" w:cs="Arial"/>
          <w:b/>
          <w:bCs/>
        </w:rPr>
      </w:pPr>
      <w:r w:rsidRPr="009A6DC4">
        <w:rPr>
          <w:rFonts w:ascii="Arial" w:hAnsi="Arial" w:cs="Arial"/>
          <w:b/>
          <w:bCs/>
        </w:rPr>
        <w:t xml:space="preserve">Ausgaben für Wohnbauförderung werden auf niedrigem Niveau weiter gekürzt – nämlich um 20%: </w:t>
      </w:r>
    </w:p>
    <w:p w14:paraId="1E196D67" w14:textId="77777777" w:rsidR="009A17CE" w:rsidRDefault="009A17CE" w:rsidP="009A17CE">
      <w:pPr>
        <w:numPr>
          <w:ilvl w:val="1"/>
          <w:numId w:val="1"/>
        </w:numPr>
        <w:jc w:val="both"/>
        <w:rPr>
          <w:rFonts w:ascii="Arial" w:hAnsi="Arial" w:cs="Arial"/>
        </w:rPr>
      </w:pPr>
      <w:r w:rsidRPr="009A6DC4">
        <w:rPr>
          <w:rFonts w:ascii="Arial" w:hAnsi="Arial" w:cs="Arial"/>
        </w:rPr>
        <w:t xml:space="preserve">Nachdem Schwarz-Blau in Niederösterreich mitten in der Teuerungskrise den gemeinnützigen geförderten Wohnbau eingestellt hat, besteht nun absoluter Handlungsbedarf. Bis zu 7.000 geförderte Wohnungen weniger gibt es deshalb allein heuer in Niederösterreich. Das ist schlecht für leistbares Wohnen in NÖ, aber auch ein großes Problem für die Wirtschaft. </w:t>
      </w:r>
    </w:p>
    <w:p w14:paraId="5086BA19" w14:textId="77777777" w:rsidR="009A17CE" w:rsidRDefault="009A17CE" w:rsidP="009A17CE">
      <w:pPr>
        <w:jc w:val="both"/>
        <w:rPr>
          <w:rFonts w:ascii="Arial" w:hAnsi="Arial" w:cs="Arial"/>
        </w:rPr>
      </w:pPr>
    </w:p>
    <w:p w14:paraId="5B9E2078" w14:textId="77777777" w:rsidR="009A17CE" w:rsidRDefault="009A17CE" w:rsidP="009A17CE">
      <w:pPr>
        <w:jc w:val="both"/>
        <w:rPr>
          <w:rFonts w:ascii="Arial" w:hAnsi="Arial" w:cs="Arial"/>
        </w:rPr>
      </w:pPr>
      <w:r>
        <w:rPr>
          <w:rFonts w:ascii="Arial" w:hAnsi="Arial" w:cs="Arial"/>
        </w:rPr>
        <w:t>„</w:t>
      </w:r>
      <w:r w:rsidRPr="00F124B6">
        <w:rPr>
          <w:rFonts w:ascii="Arial" w:hAnsi="Arial" w:cs="Arial"/>
        </w:rPr>
        <w:t>Die Wohnpolitik der ÖVP lässt sich mit drei Begriffen beschreiben: Kein sozialer Wohnbau, hohe Mieten und Bankenförderung, statt Unterstützung für Häuslbauer. „Die schwarz-blaue Koalition auf Landesebene bleibt die Reform der NÖ-Wohnbauförderung weiterhin schuldig und kürzt in diesem Bereich das Budget um 20 Prozent“, kritisiert Weninger auch die fehlende Budgetwahrheit, da sich die medialen Ankündigungen der vergangenen Woche nicht im vorliegenden Finanzplan wiederfinden.</w:t>
      </w:r>
      <w:r>
        <w:rPr>
          <w:rFonts w:ascii="Arial" w:hAnsi="Arial" w:cs="Arial"/>
        </w:rPr>
        <w:t>“</w:t>
      </w:r>
    </w:p>
    <w:p w14:paraId="5C507369" w14:textId="77777777" w:rsidR="009A17CE" w:rsidRDefault="009A17CE" w:rsidP="009A17CE">
      <w:pPr>
        <w:jc w:val="both"/>
        <w:rPr>
          <w:rFonts w:ascii="Arial" w:hAnsi="Arial" w:cs="Arial"/>
        </w:rPr>
      </w:pPr>
      <w:hyperlink r:id="rId16" w:history="1">
        <w:r w:rsidRPr="007D0A3E">
          <w:rPr>
            <w:rStyle w:val="Hyperlink"/>
            <w:rFonts w:ascii="Arial" w:hAnsi="Arial" w:cs="Arial"/>
          </w:rPr>
          <w:t>https://noe.spoe.at/themen/news-detail/sp-weninger-mehr-schulden-weniger-leistung</w:t>
        </w:r>
      </w:hyperlink>
    </w:p>
    <w:p w14:paraId="1568587E" w14:textId="77777777" w:rsidR="009A17CE" w:rsidRPr="009A6DC4" w:rsidRDefault="009A17CE" w:rsidP="009A17CE">
      <w:pPr>
        <w:jc w:val="both"/>
        <w:rPr>
          <w:rFonts w:ascii="Arial" w:hAnsi="Arial" w:cs="Arial"/>
        </w:rPr>
      </w:pPr>
    </w:p>
    <w:p w14:paraId="5F1788FA" w14:textId="77777777" w:rsidR="009A17CE" w:rsidRPr="009A6DC4" w:rsidRDefault="009A17CE" w:rsidP="009A17CE">
      <w:pPr>
        <w:rPr>
          <w:rFonts w:ascii="Arial" w:hAnsi="Arial" w:cs="Arial"/>
        </w:rPr>
      </w:pPr>
    </w:p>
    <w:p w14:paraId="064A6830" w14:textId="77777777" w:rsidR="00BB2823" w:rsidRDefault="00BB2823" w:rsidP="00BB2823">
      <w:pPr>
        <w:pStyle w:val="berschrift1"/>
        <w:rPr>
          <w:rFonts w:ascii="Arial" w:hAnsi="Arial" w:cs="Arial"/>
          <w:sz w:val="28"/>
          <w:szCs w:val="28"/>
          <w:u w:val="single"/>
          <w:lang w:val="de-DE"/>
        </w:rPr>
      </w:pPr>
      <w:bookmarkStart w:id="2" w:name="_Toc153363578"/>
      <w:r>
        <w:rPr>
          <w:rFonts w:ascii="Arial" w:hAnsi="Arial" w:cs="Arial"/>
          <w:sz w:val="28"/>
          <w:szCs w:val="28"/>
          <w:u w:val="single"/>
          <w:lang w:val="de-DE"/>
        </w:rPr>
        <w:lastRenderedPageBreak/>
        <w:t>Wohnbauförderungsrichtlinie neu</w:t>
      </w:r>
      <w:bookmarkEnd w:id="2"/>
      <w:r>
        <w:rPr>
          <w:rFonts w:ascii="Arial" w:hAnsi="Arial" w:cs="Arial"/>
          <w:sz w:val="28"/>
          <w:szCs w:val="28"/>
          <w:u w:val="single"/>
          <w:lang w:val="de-DE"/>
        </w:rPr>
        <w:t xml:space="preserve"> </w:t>
      </w:r>
    </w:p>
    <w:p w14:paraId="6F8BBAB3" w14:textId="77777777" w:rsidR="00BB2823" w:rsidRPr="0068717C" w:rsidRDefault="00BB2823" w:rsidP="00BB2823">
      <w:pPr>
        <w:jc w:val="both"/>
        <w:rPr>
          <w:rFonts w:ascii="Arial" w:hAnsi="Arial" w:cs="Arial"/>
          <w:sz w:val="24"/>
          <w:szCs w:val="24"/>
          <w:lang w:val="de-DE"/>
        </w:rPr>
      </w:pPr>
      <w:r w:rsidRPr="0068717C">
        <w:rPr>
          <w:rFonts w:ascii="Arial" w:hAnsi="Arial" w:cs="Arial"/>
          <w:sz w:val="24"/>
          <w:szCs w:val="24"/>
          <w:lang w:val="de-DE"/>
        </w:rPr>
        <w:t xml:space="preserve">16. Änderung der NÖ Wohnungsförderungsrichtlinien 2019 </w:t>
      </w:r>
    </w:p>
    <w:p w14:paraId="5E8646E2" w14:textId="77777777" w:rsidR="00BB2823" w:rsidRPr="0068717C" w:rsidRDefault="00BB2823" w:rsidP="00BB2823">
      <w:pPr>
        <w:pStyle w:val="Listenabsatz"/>
        <w:numPr>
          <w:ilvl w:val="0"/>
          <w:numId w:val="2"/>
        </w:numPr>
        <w:spacing w:line="360" w:lineRule="auto"/>
        <w:ind w:left="426"/>
        <w:jc w:val="both"/>
        <w:rPr>
          <w:rFonts w:ascii="Arial" w:hAnsi="Arial" w:cs="Arial"/>
          <w:sz w:val="24"/>
          <w:szCs w:val="24"/>
          <w:lang w:val="de-DE"/>
        </w:rPr>
      </w:pPr>
      <w:r w:rsidRPr="0068717C">
        <w:rPr>
          <w:rFonts w:ascii="Arial" w:hAnsi="Arial" w:cs="Arial"/>
          <w:sz w:val="24"/>
          <w:szCs w:val="24"/>
          <w:lang w:val="de-DE"/>
        </w:rPr>
        <w:t>Beschluss in der Sitzung der LR am 28. November 2023 (Ablehnung SPÖ)</w:t>
      </w:r>
    </w:p>
    <w:p w14:paraId="605A2EA1" w14:textId="77777777" w:rsidR="00BB2823" w:rsidRPr="0068717C" w:rsidRDefault="00BB2823" w:rsidP="00BB2823">
      <w:pPr>
        <w:pStyle w:val="Listenabsatz"/>
        <w:numPr>
          <w:ilvl w:val="0"/>
          <w:numId w:val="2"/>
        </w:numPr>
        <w:spacing w:line="360" w:lineRule="auto"/>
        <w:ind w:left="426"/>
        <w:jc w:val="both"/>
        <w:rPr>
          <w:rFonts w:ascii="Arial" w:hAnsi="Arial" w:cs="Arial"/>
          <w:sz w:val="24"/>
          <w:szCs w:val="24"/>
        </w:rPr>
      </w:pPr>
      <w:r w:rsidRPr="0068717C">
        <w:rPr>
          <w:rFonts w:ascii="Arial" w:hAnsi="Arial" w:cs="Arial"/>
          <w:sz w:val="24"/>
          <w:szCs w:val="24"/>
        </w:rPr>
        <w:t>Nach dem Vorbild Oberösterreich sind für die Vergabe von Wohnungen Deutschkenntnisse Voraussetzung. (Absolvierung einer Integrationsprüfung oder eine Bestätigung über das Sprachniveau "A2")</w:t>
      </w:r>
    </w:p>
    <w:p w14:paraId="7EBBD138" w14:textId="77777777" w:rsidR="00BB2823" w:rsidRPr="0068717C" w:rsidRDefault="00BB2823" w:rsidP="00BB2823">
      <w:pPr>
        <w:pStyle w:val="Listenabsatz"/>
        <w:numPr>
          <w:ilvl w:val="0"/>
          <w:numId w:val="2"/>
        </w:numPr>
        <w:spacing w:line="360" w:lineRule="auto"/>
        <w:ind w:left="426"/>
        <w:jc w:val="both"/>
        <w:rPr>
          <w:rFonts w:ascii="Arial" w:hAnsi="Arial" w:cs="Arial"/>
          <w:sz w:val="24"/>
          <w:szCs w:val="24"/>
        </w:rPr>
      </w:pPr>
      <w:r w:rsidRPr="0068717C">
        <w:rPr>
          <w:rFonts w:ascii="Arial" w:hAnsi="Arial" w:cs="Arial"/>
          <w:sz w:val="24"/>
          <w:szCs w:val="24"/>
        </w:rPr>
        <w:t xml:space="preserve">Die neue Wohnbauförderung wird Anfangsmieten von </w:t>
      </w:r>
      <w:proofErr w:type="spellStart"/>
      <w:r w:rsidRPr="0068717C">
        <w:rPr>
          <w:rFonts w:ascii="Arial" w:hAnsi="Arial" w:cs="Arial"/>
          <w:sz w:val="24"/>
          <w:szCs w:val="24"/>
        </w:rPr>
        <w:t>Brutto</w:t>
      </w:r>
      <w:proofErr w:type="spellEnd"/>
      <w:r w:rsidRPr="0068717C">
        <w:rPr>
          <w:rFonts w:ascii="Arial" w:hAnsi="Arial" w:cs="Arial"/>
          <w:sz w:val="24"/>
          <w:szCs w:val="24"/>
        </w:rPr>
        <w:t xml:space="preserve"> 13 €/m² aufwärts bringen, bei einer gesamten Finanzierungsdauer von 40 Jahren. </w:t>
      </w:r>
    </w:p>
    <w:p w14:paraId="06563F6B" w14:textId="77777777" w:rsidR="00BB2823" w:rsidRPr="0068717C" w:rsidRDefault="00BB2823" w:rsidP="00BB2823">
      <w:pPr>
        <w:pStyle w:val="Listenabsatz"/>
        <w:numPr>
          <w:ilvl w:val="0"/>
          <w:numId w:val="2"/>
        </w:numPr>
        <w:spacing w:line="360" w:lineRule="auto"/>
        <w:ind w:left="426"/>
        <w:jc w:val="both"/>
        <w:rPr>
          <w:rFonts w:ascii="Arial" w:hAnsi="Arial" w:cs="Arial"/>
          <w:sz w:val="24"/>
          <w:szCs w:val="24"/>
        </w:rPr>
      </w:pPr>
      <w:r w:rsidRPr="0068717C">
        <w:rPr>
          <w:rFonts w:ascii="Arial" w:hAnsi="Arial" w:cs="Arial"/>
          <w:sz w:val="24"/>
          <w:szCs w:val="24"/>
        </w:rPr>
        <w:t xml:space="preserve">Eine geförderte 80 m² Wohnung in NÖ wird über 1.000 € monatlich kosten. </w:t>
      </w:r>
    </w:p>
    <w:p w14:paraId="35CB98E7" w14:textId="77777777" w:rsidR="00BB2823" w:rsidRPr="0068717C" w:rsidRDefault="00BB2823" w:rsidP="00BB2823">
      <w:pPr>
        <w:pStyle w:val="Listenabsatz"/>
        <w:numPr>
          <w:ilvl w:val="0"/>
          <w:numId w:val="2"/>
        </w:numPr>
        <w:spacing w:line="360" w:lineRule="auto"/>
        <w:ind w:left="426"/>
        <w:jc w:val="both"/>
        <w:rPr>
          <w:rFonts w:ascii="Arial" w:hAnsi="Arial" w:cs="Arial"/>
          <w:sz w:val="24"/>
          <w:szCs w:val="24"/>
        </w:rPr>
      </w:pPr>
      <w:r w:rsidRPr="0068717C">
        <w:rPr>
          <w:rFonts w:ascii="Arial" w:hAnsi="Arial" w:cs="Arial"/>
          <w:sz w:val="24"/>
          <w:szCs w:val="24"/>
        </w:rPr>
        <w:t xml:space="preserve">Bestandsmieten in Niederösterreich sind im Mittel halb so hoch (lt. GBV 7,20 €/m²) </w:t>
      </w:r>
    </w:p>
    <w:p w14:paraId="5EB5B620" w14:textId="77777777" w:rsidR="00BB2823" w:rsidRPr="0068717C" w:rsidRDefault="00BB2823" w:rsidP="00BB2823">
      <w:pPr>
        <w:pStyle w:val="Listenabsatz"/>
        <w:numPr>
          <w:ilvl w:val="0"/>
          <w:numId w:val="2"/>
        </w:numPr>
        <w:spacing w:line="360" w:lineRule="auto"/>
        <w:ind w:left="426"/>
        <w:jc w:val="both"/>
        <w:rPr>
          <w:rFonts w:ascii="Arial" w:hAnsi="Arial" w:cs="Arial"/>
          <w:sz w:val="24"/>
          <w:szCs w:val="24"/>
        </w:rPr>
      </w:pPr>
      <w:r w:rsidRPr="0068717C">
        <w:rPr>
          <w:rFonts w:ascii="Arial" w:hAnsi="Arial" w:cs="Arial"/>
          <w:sz w:val="24"/>
          <w:szCs w:val="24"/>
        </w:rPr>
        <w:t>Beispiel: 80 m² - bisher: ~ 576 € / neu: mind. 1.040 €</w:t>
      </w:r>
    </w:p>
    <w:p w14:paraId="7C18CC27" w14:textId="77777777" w:rsidR="00BB2823" w:rsidRPr="0068717C" w:rsidRDefault="00BB2823" w:rsidP="00BB2823">
      <w:pPr>
        <w:pStyle w:val="Listenabsatz"/>
        <w:numPr>
          <w:ilvl w:val="0"/>
          <w:numId w:val="2"/>
        </w:numPr>
        <w:spacing w:line="360" w:lineRule="auto"/>
        <w:ind w:left="426"/>
        <w:jc w:val="both"/>
        <w:rPr>
          <w:rFonts w:ascii="Arial" w:hAnsi="Arial" w:cs="Arial"/>
          <w:sz w:val="24"/>
          <w:szCs w:val="24"/>
        </w:rPr>
      </w:pPr>
      <w:r w:rsidRPr="0068717C">
        <w:rPr>
          <w:rFonts w:ascii="Arial" w:hAnsi="Arial" w:cs="Arial"/>
          <w:sz w:val="24"/>
          <w:szCs w:val="24"/>
        </w:rPr>
        <w:t>An eine Sanierung nach 30 Jahren, wie derzeit üblich, wird nicht zu denken sein aufgrund der langen Finanzierungsdauer.</w:t>
      </w:r>
    </w:p>
    <w:p w14:paraId="5E5CEEE6" w14:textId="77777777" w:rsidR="00BB2823" w:rsidRPr="0068717C" w:rsidRDefault="00BB2823" w:rsidP="00BB2823">
      <w:pPr>
        <w:pStyle w:val="Listenabsatz"/>
        <w:numPr>
          <w:ilvl w:val="0"/>
          <w:numId w:val="2"/>
        </w:numPr>
        <w:spacing w:line="360" w:lineRule="auto"/>
        <w:ind w:left="426"/>
        <w:jc w:val="both"/>
        <w:rPr>
          <w:rFonts w:ascii="Arial" w:hAnsi="Arial" w:cs="Arial"/>
          <w:sz w:val="24"/>
          <w:szCs w:val="24"/>
        </w:rPr>
      </w:pPr>
      <w:r w:rsidRPr="0068717C">
        <w:rPr>
          <w:rFonts w:ascii="Arial" w:hAnsi="Arial" w:cs="Arial"/>
          <w:sz w:val="24"/>
          <w:szCs w:val="24"/>
        </w:rPr>
        <w:t>Das Land wird vielleicht gar nicht viel Geld für die Förderung brauchen, weil Unternehmen den Bau von dann zu teuren und daher leerstehenden Wohnungen gut überlegen werden.</w:t>
      </w:r>
    </w:p>
    <w:p w14:paraId="2E45DBC7" w14:textId="77777777" w:rsidR="00BB2823" w:rsidRDefault="00BB2823" w:rsidP="00BB2823">
      <w:pPr>
        <w:rPr>
          <w:rFonts w:ascii="Arial" w:hAnsi="Arial" w:cs="Arial"/>
          <w:sz w:val="24"/>
          <w:szCs w:val="24"/>
        </w:rPr>
      </w:pPr>
      <w:r>
        <w:rPr>
          <w:rFonts w:ascii="Arial" w:hAnsi="Arial" w:cs="Arial"/>
          <w:sz w:val="24"/>
          <w:szCs w:val="24"/>
        </w:rPr>
        <w:br w:type="page"/>
      </w:r>
    </w:p>
    <w:p w14:paraId="490D1C30" w14:textId="77777777" w:rsidR="00BB2823" w:rsidRPr="00EF63D5" w:rsidRDefault="00BB2823" w:rsidP="00BB2823">
      <w:pPr>
        <w:shd w:val="clear" w:color="auto" w:fill="FFFFFF"/>
        <w:spacing w:after="300" w:line="240" w:lineRule="auto"/>
        <w:rPr>
          <w:rFonts w:ascii="Raleway" w:eastAsia="Times New Roman" w:hAnsi="Raleway" w:cs="Times New Roman"/>
          <w:color w:val="747474"/>
          <w:kern w:val="0"/>
          <w:sz w:val="27"/>
          <w:szCs w:val="27"/>
          <w:lang w:eastAsia="de-AT"/>
          <w14:ligatures w14:val="none"/>
        </w:rPr>
      </w:pPr>
      <w:r w:rsidRPr="00EF63D5">
        <w:rPr>
          <w:rFonts w:ascii="Raleway" w:eastAsia="Times New Roman" w:hAnsi="Raleway" w:cs="Times New Roman"/>
          <w:color w:val="747474"/>
          <w:kern w:val="0"/>
          <w:sz w:val="27"/>
          <w:szCs w:val="27"/>
          <w:lang w:eastAsia="de-AT"/>
          <w14:ligatures w14:val="none"/>
        </w:rPr>
        <w:lastRenderedPageBreak/>
        <w:t>28.11.2023</w:t>
      </w:r>
    </w:p>
    <w:p w14:paraId="16FF2E70" w14:textId="77777777" w:rsidR="00BB2823" w:rsidRPr="00EF63D5" w:rsidRDefault="00BB2823" w:rsidP="00BB2823">
      <w:pPr>
        <w:rPr>
          <w:rFonts w:ascii="Raleway" w:eastAsia="Times New Roman" w:hAnsi="Raleway" w:cs="Times New Roman"/>
          <w:b/>
          <w:bCs/>
          <w:color w:val="747474"/>
          <w:kern w:val="36"/>
          <w:sz w:val="48"/>
          <w:szCs w:val="48"/>
          <w:lang w:eastAsia="de-AT"/>
          <w14:ligatures w14:val="none"/>
        </w:rPr>
      </w:pPr>
      <w:r w:rsidRPr="00EF63D5">
        <w:rPr>
          <w:rFonts w:ascii="Raleway" w:eastAsia="Times New Roman" w:hAnsi="Raleway" w:cs="Times New Roman"/>
          <w:b/>
          <w:bCs/>
          <w:color w:val="747474"/>
          <w:kern w:val="36"/>
          <w:sz w:val="48"/>
          <w:szCs w:val="48"/>
          <w:lang w:eastAsia="de-AT"/>
          <w14:ligatures w14:val="none"/>
        </w:rPr>
        <w:t xml:space="preserve">Hergovich: Schwarzblau macht gefördertes Wohnen </w:t>
      </w:r>
      <w:proofErr w:type="spellStart"/>
      <w:r w:rsidRPr="00EF63D5">
        <w:rPr>
          <w:rFonts w:ascii="Raleway" w:eastAsia="Times New Roman" w:hAnsi="Raleway" w:cs="Times New Roman"/>
          <w:b/>
          <w:bCs/>
          <w:color w:val="747474"/>
          <w:kern w:val="36"/>
          <w:sz w:val="48"/>
          <w:szCs w:val="48"/>
          <w:lang w:eastAsia="de-AT"/>
          <w14:ligatures w14:val="none"/>
        </w:rPr>
        <w:t>unleistbar</w:t>
      </w:r>
      <w:proofErr w:type="spellEnd"/>
    </w:p>
    <w:p w14:paraId="56A53FB9" w14:textId="77777777" w:rsidR="00BB2823" w:rsidRPr="00EF63D5" w:rsidRDefault="00BB2823" w:rsidP="00BB2823">
      <w:pPr>
        <w:rPr>
          <w:rFonts w:ascii="Raleway" w:eastAsia="Times New Roman" w:hAnsi="Raleway" w:cs="Times New Roman"/>
          <w:b/>
          <w:bCs/>
          <w:color w:val="747474"/>
          <w:kern w:val="0"/>
          <w:sz w:val="36"/>
          <w:szCs w:val="36"/>
          <w:lang w:eastAsia="de-AT"/>
          <w14:ligatures w14:val="none"/>
        </w:rPr>
      </w:pPr>
      <w:r w:rsidRPr="00EF63D5">
        <w:rPr>
          <w:rFonts w:ascii="Raleway" w:eastAsia="Times New Roman" w:hAnsi="Raleway" w:cs="Times New Roman"/>
          <w:b/>
          <w:bCs/>
          <w:color w:val="747474"/>
          <w:kern w:val="0"/>
          <w:sz w:val="36"/>
          <w:szCs w:val="36"/>
          <w:lang w:eastAsia="de-AT"/>
          <w14:ligatures w14:val="none"/>
        </w:rPr>
        <w:t>SPÖ lehnt unsoziales Wohnbaufördermodell ab</w:t>
      </w:r>
    </w:p>
    <w:p w14:paraId="1C8A8F86" w14:textId="77777777" w:rsidR="00BB2823" w:rsidRPr="00EF63D5" w:rsidRDefault="00BB2823" w:rsidP="00BB2823">
      <w:pPr>
        <w:rPr>
          <w:rFonts w:ascii="Raleway" w:eastAsia="Times New Roman" w:hAnsi="Raleway" w:cs="Times New Roman"/>
          <w:color w:val="747474"/>
          <w:kern w:val="0"/>
          <w:sz w:val="24"/>
          <w:szCs w:val="24"/>
          <w:lang w:eastAsia="de-AT"/>
          <w14:ligatures w14:val="none"/>
        </w:rPr>
      </w:pPr>
      <w:r w:rsidRPr="00EF63D5">
        <w:rPr>
          <w:rFonts w:ascii="Raleway" w:eastAsia="Times New Roman" w:hAnsi="Raleway" w:cs="Times New Roman"/>
          <w:i/>
          <w:iCs/>
          <w:color w:val="747474"/>
          <w:kern w:val="0"/>
          <w:sz w:val="24"/>
          <w:szCs w:val="24"/>
          <w:lang w:eastAsia="de-AT"/>
          <w14:ligatures w14:val="none"/>
        </w:rPr>
        <w:t>„Eine Durchschnittsmiete in Niederösterreich liegt derzeit bei 7,20 Euro pro Quadratmeter. Das neue unsoziale schwarzblaue Wohnbaufördermodell wird zu einer Anfangsmiete von 13 Euro pro Quadratmeter führen. Das bedeutet für eine niederösterreichische Familie eine Anfangsmiete von 1000 bis 1200 Euro für eine Wohnung von 80 Quadratmetern. Das ist viel zu viel, wird zu einer weiteren Ausdünnung des ländlichen Raums führen und verteuert das Wohnen im Land. Das ist unsinnig und unsozial“,</w:t>
      </w:r>
      <w:r w:rsidRPr="00EF63D5">
        <w:rPr>
          <w:rFonts w:ascii="Raleway" w:eastAsia="Times New Roman" w:hAnsi="Raleway" w:cs="Times New Roman"/>
          <w:color w:val="747474"/>
          <w:kern w:val="0"/>
          <w:sz w:val="24"/>
          <w:szCs w:val="24"/>
          <w:lang w:eastAsia="de-AT"/>
          <w14:ligatures w14:val="none"/>
        </w:rPr>
        <w:t> sagt </w:t>
      </w:r>
      <w:proofErr w:type="spellStart"/>
      <w:r w:rsidRPr="00EF63D5">
        <w:rPr>
          <w:rFonts w:ascii="Raleway" w:eastAsia="Times New Roman" w:hAnsi="Raleway" w:cs="Times New Roman"/>
          <w:b/>
          <w:bCs/>
          <w:color w:val="747474"/>
          <w:kern w:val="0"/>
          <w:sz w:val="24"/>
          <w:szCs w:val="24"/>
          <w:lang w:eastAsia="de-AT"/>
          <w14:ligatures w14:val="none"/>
        </w:rPr>
        <w:t>Kontrollandesrat</w:t>
      </w:r>
      <w:proofErr w:type="spellEnd"/>
      <w:r w:rsidRPr="00EF63D5">
        <w:rPr>
          <w:rFonts w:ascii="Raleway" w:eastAsia="Times New Roman" w:hAnsi="Raleway" w:cs="Times New Roman"/>
          <w:b/>
          <w:bCs/>
          <w:color w:val="747474"/>
          <w:kern w:val="0"/>
          <w:sz w:val="24"/>
          <w:szCs w:val="24"/>
          <w:lang w:eastAsia="de-AT"/>
          <w14:ligatures w14:val="none"/>
        </w:rPr>
        <w:t xml:space="preserve"> und SPÖ-NÖ-Vorsitzender Sven Hergovich</w:t>
      </w:r>
      <w:r w:rsidRPr="00EF63D5">
        <w:rPr>
          <w:rFonts w:ascii="Raleway" w:eastAsia="Times New Roman" w:hAnsi="Raleway" w:cs="Times New Roman"/>
          <w:color w:val="747474"/>
          <w:kern w:val="0"/>
          <w:sz w:val="24"/>
          <w:szCs w:val="24"/>
          <w:lang w:eastAsia="de-AT"/>
          <w14:ligatures w14:val="none"/>
        </w:rPr>
        <w:t>.</w:t>
      </w:r>
    </w:p>
    <w:p w14:paraId="0AB0D010" w14:textId="77777777" w:rsidR="00BB2823" w:rsidRPr="00EF63D5" w:rsidRDefault="00BB2823" w:rsidP="00BB2823">
      <w:pPr>
        <w:shd w:val="clear" w:color="auto" w:fill="FFFFFF"/>
        <w:spacing w:line="240" w:lineRule="auto"/>
        <w:jc w:val="both"/>
        <w:rPr>
          <w:rFonts w:ascii="Raleway" w:eastAsia="Times New Roman" w:hAnsi="Raleway" w:cs="Times New Roman"/>
          <w:i/>
          <w:iCs/>
          <w:color w:val="747474"/>
          <w:kern w:val="0"/>
          <w:sz w:val="24"/>
          <w:szCs w:val="24"/>
          <w:lang w:eastAsia="de-AT"/>
          <w14:ligatures w14:val="none"/>
        </w:rPr>
      </w:pPr>
      <w:r w:rsidRPr="00EF63D5">
        <w:rPr>
          <w:rFonts w:ascii="Raleway" w:eastAsia="Times New Roman" w:hAnsi="Raleway" w:cs="Times New Roman"/>
          <w:i/>
          <w:iCs/>
          <w:color w:val="747474"/>
          <w:kern w:val="0"/>
          <w:sz w:val="24"/>
          <w:szCs w:val="24"/>
          <w:lang w:eastAsia="de-AT"/>
          <w14:ligatures w14:val="none"/>
        </w:rPr>
        <w:t>„Das schwarzblaue System kann sich freuen, denn das neue Wohnbaufördermodell wird die Kosten für das Land senken. Denn keine Genossenschaft will Leerstand bauen und dieses Wohnbaufördermodell ist in weiten Teilen des Landes nicht konkurrenzfähig“,</w:t>
      </w:r>
    </w:p>
    <w:p w14:paraId="3C2ABB1F" w14:textId="77777777" w:rsidR="00BB2823" w:rsidRPr="00EF63D5" w:rsidRDefault="00BB2823" w:rsidP="00BB2823">
      <w:pPr>
        <w:shd w:val="clear" w:color="auto" w:fill="FFFFFF"/>
        <w:spacing w:line="240" w:lineRule="auto"/>
        <w:jc w:val="both"/>
        <w:rPr>
          <w:rFonts w:ascii="Raleway" w:eastAsia="Times New Roman" w:hAnsi="Raleway" w:cs="Times New Roman"/>
          <w:color w:val="747474"/>
          <w:kern w:val="0"/>
          <w:sz w:val="24"/>
          <w:szCs w:val="24"/>
          <w:lang w:eastAsia="de-AT"/>
          <w14:ligatures w14:val="none"/>
        </w:rPr>
      </w:pPr>
      <w:r w:rsidRPr="00EF63D5">
        <w:rPr>
          <w:rFonts w:ascii="Raleway" w:eastAsia="Times New Roman" w:hAnsi="Raleway" w:cs="Times New Roman"/>
          <w:color w:val="747474"/>
          <w:kern w:val="0"/>
          <w:sz w:val="24"/>
          <w:szCs w:val="24"/>
          <w:lang w:eastAsia="de-AT"/>
          <w14:ligatures w14:val="none"/>
        </w:rPr>
        <w:t>sagt Hergovich und ergänzt: </w:t>
      </w:r>
      <w:r w:rsidRPr="00EF63D5">
        <w:rPr>
          <w:rFonts w:ascii="Raleway" w:eastAsia="Times New Roman" w:hAnsi="Raleway" w:cs="Times New Roman"/>
          <w:i/>
          <w:iCs/>
          <w:color w:val="747474"/>
          <w:kern w:val="0"/>
          <w:sz w:val="24"/>
          <w:szCs w:val="24"/>
          <w:lang w:eastAsia="de-AT"/>
          <w14:ligatures w14:val="none"/>
        </w:rPr>
        <w:t>„Sehr fragwürdig ist auch, dass die Finanzierungsdauer auf 40 Jahre ausgedehnt wird. Das wird noch die Kinder belasten. Bedenklich ist, dass die bisher übliche Sanierung nach 30 Jahren nicht mehr möglich wird, wenn die Finanzierung noch zehn Jahre läuft. Das ist schlecht für die Umwelt“,</w:t>
      </w:r>
      <w:r w:rsidRPr="00EF63D5">
        <w:rPr>
          <w:rFonts w:ascii="Raleway" w:eastAsia="Times New Roman" w:hAnsi="Raleway" w:cs="Times New Roman"/>
          <w:color w:val="747474"/>
          <w:kern w:val="0"/>
          <w:sz w:val="24"/>
          <w:szCs w:val="24"/>
          <w:lang w:eastAsia="de-AT"/>
          <w14:ligatures w14:val="none"/>
        </w:rPr>
        <w:t> sagt Hergovich und schließt: </w:t>
      </w:r>
      <w:r w:rsidRPr="00EF63D5">
        <w:rPr>
          <w:rFonts w:ascii="Raleway" w:eastAsia="Times New Roman" w:hAnsi="Raleway" w:cs="Times New Roman"/>
          <w:i/>
          <w:iCs/>
          <w:color w:val="747474"/>
          <w:kern w:val="0"/>
          <w:sz w:val="24"/>
          <w:szCs w:val="24"/>
          <w:lang w:eastAsia="de-AT"/>
          <w14:ligatures w14:val="none"/>
        </w:rPr>
        <w:t>„Schwarzblau macht mit diesem Modell das Wohnen noch teurer. Statt Wuchermieten von 13 Euro pro Quadratmeter soll Schwarzblau endlich wieder leistbare Wohnungen in Niederösterreich bauen. Wir reichen ÖVP und FPÖ die Hand mit uns gemeinsam sofort ein echtes Programm für leistbares Wohnen in Niederösterreich umzusetzen. Das sind wir der Bevölkerung schuldig.“</w:t>
      </w:r>
    </w:p>
    <w:p w14:paraId="4E596EC6" w14:textId="77777777" w:rsidR="00BB2823" w:rsidRPr="00EF63D5" w:rsidRDefault="00BB2823" w:rsidP="00BB2823">
      <w:pPr>
        <w:pStyle w:val="Listenabsatz"/>
        <w:spacing w:line="360" w:lineRule="auto"/>
        <w:ind w:left="426"/>
        <w:jc w:val="both"/>
        <w:rPr>
          <w:rFonts w:ascii="Arial" w:hAnsi="Arial" w:cs="Arial"/>
        </w:rPr>
      </w:pPr>
    </w:p>
    <w:p w14:paraId="57FB8BF4" w14:textId="77777777" w:rsidR="00BB2823" w:rsidRDefault="00BB2823" w:rsidP="00BB2823">
      <w:pPr>
        <w:rPr>
          <w:sz w:val="20"/>
          <w:szCs w:val="20"/>
        </w:rPr>
      </w:pPr>
      <w:r>
        <w:rPr>
          <w:sz w:val="20"/>
          <w:szCs w:val="20"/>
        </w:rPr>
        <w:br w:type="page"/>
      </w:r>
    </w:p>
    <w:p w14:paraId="6834EA4D" w14:textId="77777777" w:rsidR="00BB2823" w:rsidRPr="00C5706C" w:rsidRDefault="00BB2823" w:rsidP="00BB2823">
      <w:pPr>
        <w:rPr>
          <w:rFonts w:ascii="Arial Narrow" w:eastAsia="Times New Roman" w:hAnsi="Arial Narrow" w:cs="Arial"/>
          <w:b/>
          <w:bCs/>
          <w:color w:val="333333"/>
          <w:kern w:val="36"/>
          <w:sz w:val="48"/>
          <w:szCs w:val="48"/>
          <w:lang w:eastAsia="de-AT"/>
          <w14:ligatures w14:val="none"/>
        </w:rPr>
      </w:pPr>
      <w:r w:rsidRPr="00C5706C">
        <w:rPr>
          <w:rFonts w:ascii="Arial Narrow" w:eastAsia="Times New Roman" w:hAnsi="Arial Narrow" w:cs="Arial"/>
          <w:b/>
          <w:bCs/>
          <w:color w:val="333333"/>
          <w:kern w:val="36"/>
          <w:sz w:val="48"/>
          <w:szCs w:val="48"/>
          <w:lang w:eastAsia="de-AT"/>
          <w14:ligatures w14:val="none"/>
        </w:rPr>
        <w:lastRenderedPageBreak/>
        <w:t>SPÖ fordert mehr Wohnungsgenehmigungen</w:t>
      </w:r>
    </w:p>
    <w:p w14:paraId="510D83EF" w14:textId="77777777" w:rsidR="00BB2823" w:rsidRPr="00C5706C" w:rsidRDefault="00BB2823" w:rsidP="00BB2823">
      <w:pPr>
        <w:rPr>
          <w:rFonts w:ascii="Arial" w:eastAsia="Times New Roman" w:hAnsi="Arial" w:cs="Arial"/>
          <w:i/>
          <w:iCs/>
          <w:color w:val="333333"/>
          <w:kern w:val="0"/>
          <w:sz w:val="24"/>
          <w:szCs w:val="24"/>
          <w:lang w:eastAsia="de-AT"/>
          <w14:ligatures w14:val="none"/>
        </w:rPr>
      </w:pPr>
      <w:r w:rsidRPr="00C5706C">
        <w:rPr>
          <w:rFonts w:ascii="Arial" w:eastAsia="Times New Roman" w:hAnsi="Arial" w:cs="Arial"/>
          <w:i/>
          <w:iCs/>
          <w:color w:val="333333"/>
          <w:kern w:val="0"/>
          <w:sz w:val="24"/>
          <w:szCs w:val="24"/>
          <w:lang w:eastAsia="de-AT"/>
          <w14:ligatures w14:val="none"/>
        </w:rPr>
        <w:t>Niederösterreichs SPÖ fordert vom Land mehr Wohnungsgenehmigungen im geförderten Wohnbau. Der Wohnbauförderbeirat wird diese Woche laut Landesparteivorsitzendem Sven Hergovich um 93 Prozent weniger Einheiten genehmigen als zuletzt.</w:t>
      </w:r>
    </w:p>
    <w:p w14:paraId="0E8B3A40" w14:textId="77777777" w:rsidR="00BB2823" w:rsidRPr="00C5706C" w:rsidRDefault="00BB2823" w:rsidP="00BB2823">
      <w:pPr>
        <w:shd w:val="clear" w:color="auto" w:fill="FFFFFF"/>
        <w:spacing w:after="240" w:line="240" w:lineRule="auto"/>
        <w:jc w:val="both"/>
        <w:rPr>
          <w:rFonts w:ascii="Arial" w:eastAsia="Times New Roman" w:hAnsi="Arial" w:cs="Arial"/>
          <w:color w:val="333333"/>
          <w:kern w:val="0"/>
          <w:sz w:val="24"/>
          <w:szCs w:val="24"/>
          <w:lang w:eastAsia="de-AT"/>
          <w14:ligatures w14:val="none"/>
        </w:rPr>
      </w:pPr>
      <w:r w:rsidRPr="00C5706C">
        <w:rPr>
          <w:rFonts w:ascii="Arial" w:eastAsia="Times New Roman" w:hAnsi="Arial" w:cs="Arial"/>
          <w:color w:val="333333"/>
          <w:kern w:val="0"/>
          <w:sz w:val="24"/>
          <w:szCs w:val="24"/>
          <w:lang w:eastAsia="de-AT"/>
          <w14:ligatures w14:val="none"/>
        </w:rPr>
        <w:t>Dass in den beiden diesjährigen Sitzungen des Wohnbauförderbeirats nach 3.343 Einheiten 2021 und 3.617 im Jahr 2022 nun 253 Einheiten genehmigt werden, bezeichnete Hergovich als „Katastrophe“. Es werde künftig nicht ausreichend Wohnungen geben, blickte SPÖ-Landesparteichef Sven Hergovich bei einer Pressekonferenz am Montag voraus. Befürchtet wurde zudem eine Erhöhung der Mieten.</w:t>
      </w:r>
    </w:p>
    <w:p w14:paraId="0E46553C" w14:textId="77777777" w:rsidR="00BB2823" w:rsidRPr="00C5706C" w:rsidRDefault="00BB2823" w:rsidP="00BB2823">
      <w:pPr>
        <w:rPr>
          <w:rFonts w:ascii="Arial" w:eastAsia="Times New Roman" w:hAnsi="Arial" w:cs="Arial"/>
          <w:color w:val="333333"/>
          <w:kern w:val="0"/>
          <w:sz w:val="24"/>
          <w:szCs w:val="24"/>
          <w:lang w:eastAsia="de-AT"/>
          <w14:ligatures w14:val="none"/>
        </w:rPr>
      </w:pPr>
      <w:r w:rsidRPr="00C5706C">
        <w:rPr>
          <w:rFonts w:ascii="Arial" w:eastAsia="Times New Roman" w:hAnsi="Arial" w:cs="Arial"/>
          <w:color w:val="333333"/>
          <w:kern w:val="0"/>
          <w:sz w:val="24"/>
          <w:szCs w:val="24"/>
          <w:lang w:eastAsia="de-AT"/>
          <w14:ligatures w14:val="none"/>
        </w:rPr>
        <w:t>Errechnet wurde von den Roten in diesem Zusammenhang im neuen Wohnbaumodell des Landes ein Quadratmeterpreis von 13 Euro. „Das ist teuer und wird dazu führen, dass der gesamte Mietpreismarkt noch einmal ansteigen wird.“ Eine Zustimmung der SPÖ in der am Dienstag stattfindenden Sitzung des Wohnbauförderbeirats werde es nicht geben. Dafür müsste sich die Zahl der geförderten Einheiten zumindest auf 2.500 erhöhen.</w:t>
      </w:r>
    </w:p>
    <w:p w14:paraId="3B40AA2D" w14:textId="77777777" w:rsidR="00BB2823" w:rsidRPr="00C5706C" w:rsidRDefault="00BB2823" w:rsidP="00BB2823">
      <w:pPr>
        <w:rPr>
          <w:rFonts w:ascii="Arial Narrow" w:eastAsia="Times New Roman" w:hAnsi="Arial Narrow" w:cs="Arial"/>
          <w:b/>
          <w:bCs/>
          <w:color w:val="333333"/>
          <w:kern w:val="0"/>
          <w:sz w:val="24"/>
          <w:szCs w:val="24"/>
          <w:lang w:eastAsia="de-AT"/>
          <w14:ligatures w14:val="none"/>
        </w:rPr>
      </w:pPr>
      <w:r w:rsidRPr="00C5706C">
        <w:rPr>
          <w:rFonts w:ascii="Arial Narrow" w:eastAsia="Times New Roman" w:hAnsi="Arial Narrow" w:cs="Arial"/>
          <w:b/>
          <w:bCs/>
          <w:color w:val="333333"/>
          <w:kern w:val="0"/>
          <w:sz w:val="24"/>
          <w:szCs w:val="24"/>
          <w:lang w:eastAsia="de-AT"/>
          <w14:ligatures w14:val="none"/>
        </w:rPr>
        <w:t>SPÖ untermauert Forderung eines Zinspreisdeckels</w:t>
      </w:r>
    </w:p>
    <w:p w14:paraId="3ACD4FD9" w14:textId="77777777" w:rsidR="00BB2823" w:rsidRPr="00C5706C" w:rsidRDefault="00BB2823" w:rsidP="00BB2823">
      <w:pPr>
        <w:rPr>
          <w:rFonts w:ascii="Arial" w:eastAsia="Times New Roman" w:hAnsi="Arial" w:cs="Arial"/>
          <w:color w:val="333333"/>
          <w:kern w:val="0"/>
          <w:sz w:val="24"/>
          <w:szCs w:val="24"/>
          <w:lang w:eastAsia="de-AT"/>
          <w14:ligatures w14:val="none"/>
        </w:rPr>
      </w:pPr>
      <w:r w:rsidRPr="00C5706C">
        <w:rPr>
          <w:rFonts w:ascii="Arial" w:eastAsia="Times New Roman" w:hAnsi="Arial" w:cs="Arial"/>
          <w:color w:val="333333"/>
          <w:kern w:val="0"/>
          <w:sz w:val="24"/>
          <w:szCs w:val="24"/>
          <w:lang w:eastAsia="de-AT"/>
          <w14:ligatures w14:val="none"/>
        </w:rPr>
        <w:t>Kritisiert wurde von Hergovich erneut auch die offenbar im Rahmen der Novellierung der NÖ Wohnbauförderung geplante Schaffung eines Fonds. In diesen könnten Teile der Gelder künftig ausgelagert werden, dies sei „eine schöne Förderung für die Bankenlobby“, so der Landesrat. Gefordert wurde erneut ein Zinspreisdeckel von drei Prozent für Wohnkredite bis 300.000 Euro sowie eine Zweckwidmung der Wohnbaufördermittel.</w:t>
      </w:r>
    </w:p>
    <w:p w14:paraId="717D06F4" w14:textId="77777777" w:rsidR="00BB2823" w:rsidRPr="00C5706C" w:rsidRDefault="00BB2823" w:rsidP="00BB2823">
      <w:pPr>
        <w:rPr>
          <w:rFonts w:ascii="Arial" w:eastAsia="Times New Roman" w:hAnsi="Arial" w:cs="Arial"/>
          <w:color w:val="333333"/>
          <w:kern w:val="0"/>
          <w:sz w:val="24"/>
          <w:szCs w:val="24"/>
          <w:lang w:eastAsia="de-AT"/>
          <w14:ligatures w14:val="none"/>
        </w:rPr>
      </w:pPr>
      <w:r w:rsidRPr="00C5706C">
        <w:rPr>
          <w:rFonts w:ascii="Arial" w:eastAsia="Times New Roman" w:hAnsi="Arial" w:cs="Arial"/>
          <w:color w:val="333333"/>
          <w:kern w:val="0"/>
          <w:sz w:val="24"/>
          <w:szCs w:val="24"/>
          <w:lang w:eastAsia="de-AT"/>
          <w14:ligatures w14:val="none"/>
        </w:rPr>
        <w:t>Die geplante Änderung der NÖ Wohnbauförderung war in der Vorwoche bekannt geworden. Künftig soll der Fokus auf Sanierung und weniger Bodenverbrauch liegen, die Förderung des großvolumigen Wohnbaus wird neu aufgestellt und die Einkommensgrenzen für Unterstützungen werden erhöht. Für die Vergabe von Wohnungen sollen künftig nach oberösterreichischem Vorbild Deutschkenntnisse eine Voraussetzung sein – mehr dazu in </w:t>
      </w:r>
      <w:hyperlink r:id="rId17" w:history="1">
        <w:r w:rsidRPr="00C5706C">
          <w:rPr>
            <w:rFonts w:ascii="Arial" w:eastAsia="Times New Roman" w:hAnsi="Arial" w:cs="Arial"/>
            <w:b/>
            <w:bCs/>
            <w:color w:val="466199"/>
            <w:kern w:val="0"/>
            <w:sz w:val="24"/>
            <w:szCs w:val="24"/>
            <w:u w:val="single"/>
            <w:lang w:eastAsia="de-AT"/>
            <w14:ligatures w14:val="none"/>
          </w:rPr>
          <w:t>„Wohnbauförderung wird neu geregelt“</w:t>
        </w:r>
      </w:hyperlink>
      <w:r w:rsidRPr="00C5706C">
        <w:rPr>
          <w:rFonts w:ascii="Arial" w:eastAsia="Times New Roman" w:hAnsi="Arial" w:cs="Arial"/>
          <w:color w:val="333333"/>
          <w:kern w:val="0"/>
          <w:sz w:val="24"/>
          <w:szCs w:val="24"/>
          <w:lang w:eastAsia="de-AT"/>
          <w14:ligatures w14:val="none"/>
        </w:rPr>
        <w:t> (noe.ORF.at; 17.11.2023). Beschlossen werden soll die Novellierung von der Landesregierung noch im November.</w:t>
      </w:r>
    </w:p>
    <w:p w14:paraId="6480B7A6" w14:textId="77777777" w:rsidR="00BB2823" w:rsidRPr="00C5706C" w:rsidRDefault="00BB2823" w:rsidP="00BB2823">
      <w:pPr>
        <w:rPr>
          <w:rFonts w:ascii="Arial Narrow" w:eastAsia="Times New Roman" w:hAnsi="Arial Narrow" w:cs="Arial"/>
          <w:b/>
          <w:bCs/>
          <w:color w:val="333333"/>
          <w:kern w:val="0"/>
          <w:sz w:val="24"/>
          <w:szCs w:val="24"/>
          <w:lang w:eastAsia="de-AT"/>
          <w14:ligatures w14:val="none"/>
        </w:rPr>
      </w:pPr>
      <w:r w:rsidRPr="00C5706C">
        <w:rPr>
          <w:rFonts w:ascii="Arial Narrow" w:eastAsia="Times New Roman" w:hAnsi="Arial Narrow" w:cs="Arial"/>
          <w:b/>
          <w:bCs/>
          <w:color w:val="333333"/>
          <w:kern w:val="0"/>
          <w:sz w:val="24"/>
          <w:szCs w:val="24"/>
          <w:lang w:eastAsia="de-AT"/>
          <w14:ligatures w14:val="none"/>
        </w:rPr>
        <w:t>ÖVP kontert vehement</w:t>
      </w:r>
    </w:p>
    <w:p w14:paraId="391242A2" w14:textId="77777777" w:rsidR="00BB2823" w:rsidRPr="00C5706C" w:rsidRDefault="00BB2823" w:rsidP="00BB2823">
      <w:pPr>
        <w:rPr>
          <w:rFonts w:ascii="Arial" w:eastAsia="Times New Roman" w:hAnsi="Arial" w:cs="Arial"/>
          <w:color w:val="333333"/>
          <w:kern w:val="0"/>
          <w:sz w:val="24"/>
          <w:szCs w:val="24"/>
          <w:lang w:eastAsia="de-AT"/>
          <w14:ligatures w14:val="none"/>
        </w:rPr>
      </w:pPr>
      <w:r w:rsidRPr="00C5706C">
        <w:rPr>
          <w:rFonts w:ascii="Arial" w:eastAsia="Times New Roman" w:hAnsi="Arial" w:cs="Arial"/>
          <w:color w:val="333333"/>
          <w:kern w:val="0"/>
          <w:sz w:val="24"/>
          <w:szCs w:val="24"/>
          <w:lang w:eastAsia="de-AT"/>
          <w14:ligatures w14:val="none"/>
        </w:rPr>
        <w:t xml:space="preserve">Die niederösterreichische Volkspartei reagierte am Montag postwendend und warf Sven Hergovich vor, „nicht einmal addieren“ zu können. Wohnbausprecher Christian </w:t>
      </w:r>
      <w:proofErr w:type="spellStart"/>
      <w:r w:rsidRPr="00C5706C">
        <w:rPr>
          <w:rFonts w:ascii="Arial" w:eastAsia="Times New Roman" w:hAnsi="Arial" w:cs="Arial"/>
          <w:color w:val="333333"/>
          <w:kern w:val="0"/>
          <w:sz w:val="24"/>
          <w:szCs w:val="24"/>
          <w:lang w:eastAsia="de-AT"/>
          <w14:ligatures w14:val="none"/>
        </w:rPr>
        <w:t>Gepp</w:t>
      </w:r>
      <w:proofErr w:type="spellEnd"/>
      <w:r w:rsidRPr="00C5706C">
        <w:rPr>
          <w:rFonts w:ascii="Arial" w:eastAsia="Times New Roman" w:hAnsi="Arial" w:cs="Arial"/>
          <w:color w:val="333333"/>
          <w:kern w:val="0"/>
          <w:sz w:val="24"/>
          <w:szCs w:val="24"/>
          <w:lang w:eastAsia="de-AT"/>
          <w14:ligatures w14:val="none"/>
        </w:rPr>
        <w:t xml:space="preserve"> zufolge kämen zu den genehmigten Einheiten im mehrgeschossigen Wohnbau 2.843 Sanierungen hinzu, was für das Jahr 2023 eine Summe von 3.100 genehmigten Wohneinheiten ergeben würde. Zudem würden sich 5.000 Wohneinheiten gerade im Bau befinden. „Aktuell sind 290 geförderte freie Wohneinheiten in allen Regionen des Landes sofort verfügbar“, gab </w:t>
      </w:r>
      <w:proofErr w:type="spellStart"/>
      <w:r w:rsidRPr="00C5706C">
        <w:rPr>
          <w:rFonts w:ascii="Arial" w:eastAsia="Times New Roman" w:hAnsi="Arial" w:cs="Arial"/>
          <w:color w:val="333333"/>
          <w:kern w:val="0"/>
          <w:sz w:val="24"/>
          <w:szCs w:val="24"/>
          <w:lang w:eastAsia="de-AT"/>
          <w14:ligatures w14:val="none"/>
        </w:rPr>
        <w:t>Gepp</w:t>
      </w:r>
      <w:proofErr w:type="spellEnd"/>
      <w:r w:rsidRPr="00C5706C">
        <w:rPr>
          <w:rFonts w:ascii="Arial" w:eastAsia="Times New Roman" w:hAnsi="Arial" w:cs="Arial"/>
          <w:color w:val="333333"/>
          <w:kern w:val="0"/>
          <w:sz w:val="24"/>
          <w:szCs w:val="24"/>
          <w:lang w:eastAsia="de-AT"/>
          <w14:ligatures w14:val="none"/>
        </w:rPr>
        <w:t xml:space="preserve"> per Aussendung bekannt.</w:t>
      </w:r>
    </w:p>
    <w:p w14:paraId="21DC854D" w14:textId="77777777" w:rsidR="003837CF" w:rsidRPr="009A17CE" w:rsidRDefault="003837CF">
      <w:pPr>
        <w:rPr>
          <w:rFonts w:ascii="Arial" w:hAnsi="Arial" w:cs="Arial"/>
          <w:i/>
          <w:iCs/>
          <w:sz w:val="20"/>
          <w:szCs w:val="20"/>
        </w:rPr>
      </w:pPr>
    </w:p>
    <w:sectPr w:rsidR="003837CF" w:rsidRPr="009A17CE" w:rsidSect="003837C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A7B03" w14:textId="77777777" w:rsidR="00931E52" w:rsidRDefault="00931E52" w:rsidP="00931E52">
      <w:pPr>
        <w:spacing w:after="0" w:line="240" w:lineRule="auto"/>
      </w:pPr>
      <w:r>
        <w:separator/>
      </w:r>
    </w:p>
  </w:endnote>
  <w:endnote w:type="continuationSeparator" w:id="0">
    <w:p w14:paraId="358DBFE1" w14:textId="77777777" w:rsidR="00931E52" w:rsidRDefault="00931E52" w:rsidP="0093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993927"/>
      <w:docPartObj>
        <w:docPartGallery w:val="Page Numbers (Bottom of Page)"/>
        <w:docPartUnique/>
      </w:docPartObj>
    </w:sdtPr>
    <w:sdtEndPr/>
    <w:sdtContent>
      <w:sdt>
        <w:sdtPr>
          <w:id w:val="1728636285"/>
          <w:docPartObj>
            <w:docPartGallery w:val="Page Numbers (Top of Page)"/>
            <w:docPartUnique/>
          </w:docPartObj>
        </w:sdtPr>
        <w:sdtEndPr/>
        <w:sdtContent>
          <w:p w14:paraId="4111B700" w14:textId="0D70127E" w:rsidR="00931E52" w:rsidRDefault="00931E52">
            <w:pPr>
              <w:pStyle w:val="Fuzeile"/>
              <w:jc w:val="center"/>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51E67426" w14:textId="77777777" w:rsidR="00931E52" w:rsidRDefault="00931E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E8DA3" w14:textId="77777777" w:rsidR="00931E52" w:rsidRDefault="00931E52" w:rsidP="00931E52">
      <w:pPr>
        <w:spacing w:after="0" w:line="240" w:lineRule="auto"/>
      </w:pPr>
      <w:r>
        <w:separator/>
      </w:r>
    </w:p>
  </w:footnote>
  <w:footnote w:type="continuationSeparator" w:id="0">
    <w:p w14:paraId="5DC64834" w14:textId="77777777" w:rsidR="00931E52" w:rsidRDefault="00931E52" w:rsidP="00931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65518"/>
    <w:multiLevelType w:val="hybridMultilevel"/>
    <w:tmpl w:val="73F84E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21B4108"/>
    <w:multiLevelType w:val="hybridMultilevel"/>
    <w:tmpl w:val="254C46BC"/>
    <w:lvl w:ilvl="0" w:tplc="529485B6">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34834764">
    <w:abstractNumId w:val="1"/>
  </w:num>
  <w:num w:numId="2" w16cid:durableId="2100103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CF"/>
    <w:rsid w:val="001372EF"/>
    <w:rsid w:val="00211E16"/>
    <w:rsid w:val="003837CF"/>
    <w:rsid w:val="00515D5E"/>
    <w:rsid w:val="005B1C0B"/>
    <w:rsid w:val="00931E52"/>
    <w:rsid w:val="009A17CE"/>
    <w:rsid w:val="009F714A"/>
    <w:rsid w:val="00A8090B"/>
    <w:rsid w:val="00A871EE"/>
    <w:rsid w:val="00BB2823"/>
    <w:rsid w:val="00D23B7F"/>
    <w:rsid w:val="00FE69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B3D8"/>
  <w15:chartTrackingRefBased/>
  <w15:docId w15:val="{FE2E0108-531C-4318-9635-78900E61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5D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14:ligatures w14:val="none"/>
    </w:rPr>
  </w:style>
  <w:style w:type="paragraph" w:styleId="berschrift2">
    <w:name w:val="heading 2"/>
    <w:basedOn w:val="Standard"/>
    <w:link w:val="berschrift2Zchn"/>
    <w:uiPriority w:val="9"/>
    <w:qFormat/>
    <w:rsid w:val="00515D5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37CF"/>
    <w:rPr>
      <w:color w:val="0563C1"/>
      <w:u w:val="single"/>
    </w:rPr>
  </w:style>
  <w:style w:type="character" w:customStyle="1" w:styleId="berschrift1Zchn">
    <w:name w:val="Überschrift 1 Zchn"/>
    <w:basedOn w:val="Absatz-Standardschriftart"/>
    <w:link w:val="berschrift1"/>
    <w:uiPriority w:val="9"/>
    <w:rsid w:val="00515D5E"/>
    <w:rPr>
      <w:rFonts w:ascii="Times New Roman" w:eastAsia="Times New Roman" w:hAnsi="Times New Roman" w:cs="Times New Roman"/>
      <w:b/>
      <w:bCs/>
      <w:kern w:val="36"/>
      <w:sz w:val="48"/>
      <w:szCs w:val="48"/>
      <w:lang w:eastAsia="de-AT"/>
      <w14:ligatures w14:val="none"/>
    </w:rPr>
  </w:style>
  <w:style w:type="character" w:customStyle="1" w:styleId="berschrift2Zchn">
    <w:name w:val="Überschrift 2 Zchn"/>
    <w:basedOn w:val="Absatz-Standardschriftart"/>
    <w:link w:val="berschrift2"/>
    <w:uiPriority w:val="9"/>
    <w:rsid w:val="00515D5E"/>
    <w:rPr>
      <w:rFonts w:ascii="Times New Roman" w:eastAsia="Times New Roman" w:hAnsi="Times New Roman" w:cs="Times New Roman"/>
      <w:b/>
      <w:bCs/>
      <w:kern w:val="0"/>
      <w:sz w:val="36"/>
      <w:szCs w:val="36"/>
      <w:lang w:eastAsia="de-AT"/>
      <w14:ligatures w14:val="none"/>
    </w:rPr>
  </w:style>
  <w:style w:type="paragraph" w:styleId="StandardWeb">
    <w:name w:val="Normal (Web)"/>
    <w:basedOn w:val="Standard"/>
    <w:uiPriority w:val="99"/>
    <w:semiHidden/>
    <w:unhideWhenUsed/>
    <w:rsid w:val="00515D5E"/>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paragraph" w:styleId="Kopfzeile">
    <w:name w:val="header"/>
    <w:basedOn w:val="Standard"/>
    <w:link w:val="KopfzeileZchn"/>
    <w:uiPriority w:val="99"/>
    <w:unhideWhenUsed/>
    <w:rsid w:val="00931E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1E52"/>
  </w:style>
  <w:style w:type="paragraph" w:styleId="Fuzeile">
    <w:name w:val="footer"/>
    <w:basedOn w:val="Standard"/>
    <w:link w:val="FuzeileZchn"/>
    <w:uiPriority w:val="99"/>
    <w:unhideWhenUsed/>
    <w:rsid w:val="00931E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1E52"/>
  </w:style>
  <w:style w:type="character" w:styleId="Hervorhebung">
    <w:name w:val="Emphasis"/>
    <w:basedOn w:val="Absatz-Standardschriftart"/>
    <w:uiPriority w:val="20"/>
    <w:qFormat/>
    <w:rsid w:val="001372EF"/>
    <w:rPr>
      <w:i/>
      <w:iCs/>
    </w:rPr>
  </w:style>
  <w:style w:type="character" w:styleId="Fett">
    <w:name w:val="Strong"/>
    <w:basedOn w:val="Absatz-Standardschriftart"/>
    <w:uiPriority w:val="22"/>
    <w:qFormat/>
    <w:rsid w:val="001372EF"/>
    <w:rPr>
      <w:b/>
      <w:bCs/>
    </w:rPr>
  </w:style>
  <w:style w:type="paragraph" w:styleId="Listenabsatz">
    <w:name w:val="List Paragraph"/>
    <w:basedOn w:val="Standard"/>
    <w:uiPriority w:val="34"/>
    <w:qFormat/>
    <w:rsid w:val="00BB2823"/>
    <w:pPr>
      <w:ind w:left="720"/>
      <w:contextualSpacing/>
    </w:pPr>
  </w:style>
  <w:style w:type="paragraph" w:styleId="Inhaltsverzeichnisberschrift">
    <w:name w:val="TOC Heading"/>
    <w:basedOn w:val="berschrift1"/>
    <w:next w:val="Standard"/>
    <w:uiPriority w:val="39"/>
    <w:unhideWhenUsed/>
    <w:qFormat/>
    <w:rsid w:val="00BB282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Verzeichnis1">
    <w:name w:val="toc 1"/>
    <w:basedOn w:val="Standard"/>
    <w:next w:val="Standard"/>
    <w:autoRedefine/>
    <w:uiPriority w:val="39"/>
    <w:unhideWhenUsed/>
    <w:rsid w:val="00BB2823"/>
    <w:pPr>
      <w:spacing w:after="100"/>
    </w:pPr>
  </w:style>
  <w:style w:type="paragraph" w:styleId="Verzeichnis2">
    <w:name w:val="toc 2"/>
    <w:basedOn w:val="Standard"/>
    <w:next w:val="Standard"/>
    <w:autoRedefine/>
    <w:uiPriority w:val="39"/>
    <w:unhideWhenUsed/>
    <w:rsid w:val="00BB282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08116">
      <w:bodyDiv w:val="1"/>
      <w:marLeft w:val="0"/>
      <w:marRight w:val="0"/>
      <w:marTop w:val="0"/>
      <w:marBottom w:val="0"/>
      <w:divBdr>
        <w:top w:val="none" w:sz="0" w:space="0" w:color="auto"/>
        <w:left w:val="none" w:sz="0" w:space="0" w:color="auto"/>
        <w:bottom w:val="none" w:sz="0" w:space="0" w:color="auto"/>
        <w:right w:val="none" w:sz="0" w:space="0" w:color="auto"/>
      </w:divBdr>
      <w:divsChild>
        <w:div w:id="986785354">
          <w:marLeft w:val="0"/>
          <w:marRight w:val="0"/>
          <w:marTop w:val="0"/>
          <w:marBottom w:val="0"/>
          <w:divBdr>
            <w:top w:val="none" w:sz="0" w:space="0" w:color="auto"/>
            <w:left w:val="none" w:sz="0" w:space="0" w:color="auto"/>
            <w:bottom w:val="none" w:sz="0" w:space="0" w:color="auto"/>
            <w:right w:val="none" w:sz="0" w:space="0" w:color="auto"/>
          </w:divBdr>
        </w:div>
        <w:div w:id="1987081833">
          <w:marLeft w:val="0"/>
          <w:marRight w:val="0"/>
          <w:marTop w:val="150"/>
          <w:marBottom w:val="225"/>
          <w:divBdr>
            <w:top w:val="none" w:sz="0" w:space="0" w:color="auto"/>
            <w:left w:val="none" w:sz="0" w:space="0" w:color="auto"/>
            <w:bottom w:val="none" w:sz="0" w:space="0" w:color="auto"/>
            <w:right w:val="none" w:sz="0" w:space="0" w:color="auto"/>
          </w:divBdr>
        </w:div>
        <w:div w:id="1319920431">
          <w:marLeft w:val="0"/>
          <w:marRight w:val="0"/>
          <w:marTop w:val="0"/>
          <w:marBottom w:val="0"/>
          <w:divBdr>
            <w:top w:val="none" w:sz="0" w:space="0" w:color="auto"/>
            <w:left w:val="none" w:sz="0" w:space="0" w:color="auto"/>
            <w:bottom w:val="none" w:sz="0" w:space="0" w:color="auto"/>
            <w:right w:val="none" w:sz="0" w:space="0" w:color="auto"/>
          </w:divBdr>
          <w:divsChild>
            <w:div w:id="1694267099">
              <w:marLeft w:val="0"/>
              <w:marRight w:val="0"/>
              <w:marTop w:val="0"/>
              <w:marBottom w:val="0"/>
              <w:divBdr>
                <w:top w:val="single" w:sz="2" w:space="0" w:color="EAE9E9"/>
                <w:left w:val="single" w:sz="2" w:space="23" w:color="EAE9E9"/>
                <w:bottom w:val="single" w:sz="2" w:space="0" w:color="EAE9E9"/>
                <w:right w:val="single" w:sz="2" w:space="23" w:color="EAE9E9"/>
              </w:divBdr>
              <w:divsChild>
                <w:div w:id="1365598531">
                  <w:marLeft w:val="-183"/>
                  <w:marRight w:val="-183"/>
                  <w:marTop w:val="0"/>
                  <w:marBottom w:val="0"/>
                  <w:divBdr>
                    <w:top w:val="none" w:sz="0" w:space="0" w:color="auto"/>
                    <w:left w:val="none" w:sz="0" w:space="0" w:color="auto"/>
                    <w:bottom w:val="none" w:sz="0" w:space="0" w:color="auto"/>
                    <w:right w:val="none" w:sz="0" w:space="0" w:color="auto"/>
                  </w:divBdr>
                  <w:divsChild>
                    <w:div w:id="57753790">
                      <w:marLeft w:val="0"/>
                      <w:marRight w:val="0"/>
                      <w:marTop w:val="0"/>
                      <w:marBottom w:val="300"/>
                      <w:divBdr>
                        <w:top w:val="none" w:sz="0" w:space="0" w:color="auto"/>
                        <w:left w:val="none" w:sz="0" w:space="0" w:color="auto"/>
                        <w:bottom w:val="none" w:sz="0" w:space="0" w:color="auto"/>
                        <w:right w:val="none" w:sz="0" w:space="0" w:color="auto"/>
                      </w:divBdr>
                      <w:divsChild>
                        <w:div w:id="1242643560">
                          <w:marLeft w:val="183"/>
                          <w:marRight w:val="183"/>
                          <w:marTop w:val="0"/>
                          <w:marBottom w:val="0"/>
                          <w:divBdr>
                            <w:top w:val="none" w:sz="0" w:space="0" w:color="auto"/>
                            <w:left w:val="none" w:sz="0" w:space="0" w:color="auto"/>
                            <w:bottom w:val="none" w:sz="0" w:space="0" w:color="auto"/>
                            <w:right w:val="none" w:sz="0" w:space="0" w:color="auto"/>
                          </w:divBdr>
                          <w:divsChild>
                            <w:div w:id="1442147631">
                              <w:marLeft w:val="0"/>
                              <w:marRight w:val="0"/>
                              <w:marTop w:val="0"/>
                              <w:marBottom w:val="0"/>
                              <w:divBdr>
                                <w:top w:val="none" w:sz="0" w:space="0" w:color="auto"/>
                                <w:left w:val="none" w:sz="0" w:space="0" w:color="auto"/>
                                <w:bottom w:val="none" w:sz="0" w:space="0" w:color="auto"/>
                                <w:right w:val="none" w:sz="0" w:space="0" w:color="auto"/>
                              </w:divBdr>
                              <w:divsChild>
                                <w:div w:id="1222401481">
                                  <w:blockQuote w:val="1"/>
                                  <w:marLeft w:val="720"/>
                                  <w:marRight w:val="720"/>
                                  <w:marTop w:val="480"/>
                                  <w:marBottom w:val="480"/>
                                  <w:divBdr>
                                    <w:top w:val="none" w:sz="0" w:space="0" w:color="auto"/>
                                    <w:left w:val="single" w:sz="24" w:space="11" w:color="auto"/>
                                    <w:bottom w:val="none" w:sz="0" w:space="0" w:color="auto"/>
                                    <w:right w:val="none" w:sz="0" w:space="0" w:color="auto"/>
                                  </w:divBdr>
                                </w:div>
                                <w:div w:id="300230567">
                                  <w:blockQuote w:val="1"/>
                                  <w:marLeft w:val="720"/>
                                  <w:marRight w:val="720"/>
                                  <w:marTop w:val="480"/>
                                  <w:marBottom w:val="480"/>
                                  <w:divBdr>
                                    <w:top w:val="none" w:sz="0" w:space="0" w:color="auto"/>
                                    <w:left w:val="single" w:sz="24" w:space="11" w:color="auto"/>
                                    <w:bottom w:val="none" w:sz="0" w:space="0" w:color="auto"/>
                                    <w:right w:val="none" w:sz="0" w:space="0" w:color="auto"/>
                                  </w:divBdr>
                                </w:div>
                                <w:div w:id="1246762962">
                                  <w:blockQuote w:val="1"/>
                                  <w:marLeft w:val="720"/>
                                  <w:marRight w:val="720"/>
                                  <w:marTop w:val="480"/>
                                  <w:marBottom w:val="480"/>
                                  <w:divBdr>
                                    <w:top w:val="none" w:sz="0" w:space="0" w:color="auto"/>
                                    <w:left w:val="single" w:sz="24" w:space="11" w:color="auto"/>
                                    <w:bottom w:val="none" w:sz="0" w:space="0" w:color="auto"/>
                                    <w:right w:val="none" w:sz="0" w:space="0" w:color="auto"/>
                                  </w:divBdr>
                                </w:div>
                              </w:divsChild>
                            </w:div>
                          </w:divsChild>
                        </w:div>
                      </w:divsChild>
                    </w:div>
                  </w:divsChild>
                </w:div>
              </w:divsChild>
            </w:div>
          </w:divsChild>
        </w:div>
      </w:divsChild>
    </w:div>
    <w:div w:id="606355738">
      <w:bodyDiv w:val="1"/>
      <w:marLeft w:val="0"/>
      <w:marRight w:val="0"/>
      <w:marTop w:val="0"/>
      <w:marBottom w:val="0"/>
      <w:divBdr>
        <w:top w:val="none" w:sz="0" w:space="0" w:color="auto"/>
        <w:left w:val="none" w:sz="0" w:space="0" w:color="auto"/>
        <w:bottom w:val="none" w:sz="0" w:space="0" w:color="auto"/>
        <w:right w:val="none" w:sz="0" w:space="0" w:color="auto"/>
      </w:divBdr>
    </w:div>
    <w:div w:id="726491861">
      <w:bodyDiv w:val="1"/>
      <w:marLeft w:val="0"/>
      <w:marRight w:val="0"/>
      <w:marTop w:val="0"/>
      <w:marBottom w:val="0"/>
      <w:divBdr>
        <w:top w:val="none" w:sz="0" w:space="0" w:color="auto"/>
        <w:left w:val="none" w:sz="0" w:space="0" w:color="auto"/>
        <w:bottom w:val="none" w:sz="0" w:space="0" w:color="auto"/>
        <w:right w:val="none" w:sz="0" w:space="0" w:color="auto"/>
      </w:divBdr>
    </w:div>
    <w:div w:id="831218429">
      <w:bodyDiv w:val="1"/>
      <w:marLeft w:val="0"/>
      <w:marRight w:val="0"/>
      <w:marTop w:val="0"/>
      <w:marBottom w:val="0"/>
      <w:divBdr>
        <w:top w:val="none" w:sz="0" w:space="0" w:color="auto"/>
        <w:left w:val="none" w:sz="0" w:space="0" w:color="auto"/>
        <w:bottom w:val="none" w:sz="0" w:space="0" w:color="auto"/>
        <w:right w:val="none" w:sz="0" w:space="0" w:color="auto"/>
      </w:divBdr>
      <w:divsChild>
        <w:div w:id="2122843546">
          <w:marLeft w:val="0"/>
          <w:marRight w:val="0"/>
          <w:marTop w:val="0"/>
          <w:marBottom w:val="0"/>
          <w:divBdr>
            <w:top w:val="none" w:sz="0" w:space="0" w:color="auto"/>
            <w:left w:val="none" w:sz="0" w:space="0" w:color="auto"/>
            <w:bottom w:val="none" w:sz="0" w:space="0" w:color="auto"/>
            <w:right w:val="none" w:sz="0" w:space="0" w:color="auto"/>
          </w:divBdr>
        </w:div>
        <w:div w:id="1877237518">
          <w:marLeft w:val="0"/>
          <w:marRight w:val="0"/>
          <w:marTop w:val="150"/>
          <w:marBottom w:val="225"/>
          <w:divBdr>
            <w:top w:val="none" w:sz="0" w:space="0" w:color="auto"/>
            <w:left w:val="none" w:sz="0" w:space="0" w:color="auto"/>
            <w:bottom w:val="none" w:sz="0" w:space="0" w:color="auto"/>
            <w:right w:val="none" w:sz="0" w:space="0" w:color="auto"/>
          </w:divBdr>
        </w:div>
        <w:div w:id="2043166819">
          <w:marLeft w:val="0"/>
          <w:marRight w:val="0"/>
          <w:marTop w:val="0"/>
          <w:marBottom w:val="0"/>
          <w:divBdr>
            <w:top w:val="none" w:sz="0" w:space="0" w:color="auto"/>
            <w:left w:val="none" w:sz="0" w:space="0" w:color="auto"/>
            <w:bottom w:val="none" w:sz="0" w:space="0" w:color="auto"/>
            <w:right w:val="none" w:sz="0" w:space="0" w:color="auto"/>
          </w:divBdr>
          <w:divsChild>
            <w:div w:id="465467657">
              <w:marLeft w:val="0"/>
              <w:marRight w:val="0"/>
              <w:marTop w:val="0"/>
              <w:marBottom w:val="0"/>
              <w:divBdr>
                <w:top w:val="single" w:sz="2" w:space="0" w:color="EAE9E9"/>
                <w:left w:val="single" w:sz="2" w:space="23" w:color="EAE9E9"/>
                <w:bottom w:val="single" w:sz="2" w:space="0" w:color="EAE9E9"/>
                <w:right w:val="single" w:sz="2" w:space="23" w:color="EAE9E9"/>
              </w:divBdr>
              <w:divsChild>
                <w:div w:id="1673139088">
                  <w:marLeft w:val="-183"/>
                  <w:marRight w:val="-183"/>
                  <w:marTop w:val="0"/>
                  <w:marBottom w:val="0"/>
                  <w:divBdr>
                    <w:top w:val="none" w:sz="0" w:space="0" w:color="auto"/>
                    <w:left w:val="none" w:sz="0" w:space="0" w:color="auto"/>
                    <w:bottom w:val="none" w:sz="0" w:space="0" w:color="auto"/>
                    <w:right w:val="none" w:sz="0" w:space="0" w:color="auto"/>
                  </w:divBdr>
                  <w:divsChild>
                    <w:div w:id="1065225950">
                      <w:marLeft w:val="0"/>
                      <w:marRight w:val="0"/>
                      <w:marTop w:val="0"/>
                      <w:marBottom w:val="300"/>
                      <w:divBdr>
                        <w:top w:val="none" w:sz="0" w:space="0" w:color="auto"/>
                        <w:left w:val="none" w:sz="0" w:space="0" w:color="auto"/>
                        <w:bottom w:val="none" w:sz="0" w:space="0" w:color="auto"/>
                        <w:right w:val="none" w:sz="0" w:space="0" w:color="auto"/>
                      </w:divBdr>
                      <w:divsChild>
                        <w:div w:id="1826629126">
                          <w:marLeft w:val="183"/>
                          <w:marRight w:val="183"/>
                          <w:marTop w:val="0"/>
                          <w:marBottom w:val="0"/>
                          <w:divBdr>
                            <w:top w:val="none" w:sz="0" w:space="0" w:color="auto"/>
                            <w:left w:val="none" w:sz="0" w:space="0" w:color="auto"/>
                            <w:bottom w:val="none" w:sz="0" w:space="0" w:color="auto"/>
                            <w:right w:val="none" w:sz="0" w:space="0" w:color="auto"/>
                          </w:divBdr>
                          <w:divsChild>
                            <w:div w:id="1075781655">
                              <w:marLeft w:val="0"/>
                              <w:marRight w:val="0"/>
                              <w:marTop w:val="150"/>
                              <w:marBottom w:val="225"/>
                              <w:divBdr>
                                <w:top w:val="none" w:sz="0" w:space="0" w:color="auto"/>
                                <w:left w:val="none" w:sz="0" w:space="0" w:color="auto"/>
                                <w:bottom w:val="none" w:sz="0" w:space="0" w:color="auto"/>
                                <w:right w:val="none" w:sz="0" w:space="0" w:color="auto"/>
                              </w:divBdr>
                            </w:div>
                            <w:div w:id="3718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oe-landtag.gv.at/gegenstaende/XX/XX-17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e-landtag.gv.at/gegenstaende/XX/XX-177" TargetMode="External"/><Relationship Id="rId17" Type="http://schemas.openxmlformats.org/officeDocument/2006/relationships/hyperlink" Target="https://noe.orf.at/stories/3232816" TargetMode="External"/><Relationship Id="rId2" Type="http://schemas.openxmlformats.org/officeDocument/2006/relationships/numbering" Target="numbering.xml"/><Relationship Id="rId16" Type="http://schemas.openxmlformats.org/officeDocument/2006/relationships/hyperlink" Target="https://noe.spoe.at/themen/news-detail/sp-weninger-mehr-schulden-weniger-leist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e-landtag.gv.at/gegenstaende/XX/XX-176" TargetMode="External"/><Relationship Id="rId5" Type="http://schemas.openxmlformats.org/officeDocument/2006/relationships/webSettings" Target="webSettings.xml"/><Relationship Id="rId15" Type="http://schemas.openxmlformats.org/officeDocument/2006/relationships/hyperlink" Target="https://noe-landtag.gv.at/gegenstaende/XX/XX-180" TargetMode="External"/><Relationship Id="rId10" Type="http://schemas.openxmlformats.org/officeDocument/2006/relationships/hyperlink" Target="https://noe-landtag.gv.at/gegenstaende/XX/XX-17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oe-landtag.gv.at/gegenstaende/XX/XX-174" TargetMode="External"/><Relationship Id="rId14" Type="http://schemas.openxmlformats.org/officeDocument/2006/relationships/hyperlink" Target="https://noe-landtag.gv.at/gegenstaende/XX/XX-17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70B4-871D-4749-8609-BB69AF44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1890</Words>
  <Characters>11911</Characters>
  <Application>Microsoft Office Word</Application>
  <DocSecurity>0</DocSecurity>
  <Lines>99</Lines>
  <Paragraphs>27</Paragraphs>
  <ScaleCrop>false</ScaleCrop>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Majcen David</dc:creator>
  <cp:keywords/>
  <dc:description/>
  <cp:lastModifiedBy>Majcen David</cp:lastModifiedBy>
  <cp:revision>10</cp:revision>
  <dcterms:created xsi:type="dcterms:W3CDTF">2023-12-13T10:20:00Z</dcterms:created>
  <dcterms:modified xsi:type="dcterms:W3CDTF">2023-12-13T11:39:00Z</dcterms:modified>
</cp:coreProperties>
</file>